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7DC43" w14:textId="63466E9E" w:rsidR="009E40BB" w:rsidRPr="00DD6F52" w:rsidRDefault="00237198">
      <w:pPr>
        <w:spacing w:line="358" w:lineRule="exact"/>
        <w:jc w:val="center"/>
        <w:textAlignment w:val="baseline"/>
        <w:rPr>
          <w:rFonts w:ascii="ＭＳ Ｐ明朝" w:eastAsia="ＭＳ Ｐ明朝" w:hAnsi="ＭＳ Ｐ明朝"/>
          <w:b/>
          <w:color w:val="000000"/>
          <w:sz w:val="24"/>
          <w:lang w:val="ja-JP" w:eastAsia="ja-JP"/>
        </w:rPr>
      </w:pPr>
      <w:r>
        <w:rPr>
          <w:rFonts w:ascii="ＭＳ Ｐ明朝" w:eastAsia="ＭＳ Ｐ明朝" w:hAnsi="ＭＳ Ｐ明朝" w:hint="eastAsia"/>
          <w:b/>
          <w:color w:val="000000"/>
          <w:sz w:val="24"/>
          <w:lang w:val="ja-JP" w:eastAsia="ja-JP"/>
        </w:rPr>
        <w:t>202</w:t>
      </w:r>
      <w:r w:rsidR="007232D9">
        <w:rPr>
          <w:rFonts w:ascii="ＭＳ Ｐ明朝" w:eastAsia="ＭＳ Ｐ明朝" w:hAnsi="ＭＳ Ｐ明朝" w:hint="eastAsia"/>
          <w:b/>
          <w:color w:val="000000"/>
          <w:sz w:val="24"/>
          <w:lang w:val="ja-JP" w:eastAsia="ja-JP"/>
        </w:rPr>
        <w:t>6</w:t>
      </w:r>
      <w:r>
        <w:rPr>
          <w:rFonts w:ascii="ＭＳ Ｐ明朝" w:eastAsia="ＭＳ Ｐ明朝" w:hAnsi="ＭＳ Ｐ明朝" w:hint="eastAsia"/>
          <w:b/>
          <w:color w:val="000000"/>
          <w:sz w:val="24"/>
          <w:lang w:val="ja-JP" w:eastAsia="ja-JP"/>
        </w:rPr>
        <w:t>年</w:t>
      </w:r>
      <w:r w:rsidRPr="00DD6F52">
        <w:rPr>
          <w:rFonts w:ascii="ＭＳ Ｐ明朝" w:eastAsia="ＭＳ Ｐ明朝" w:hAnsi="ＭＳ Ｐ明朝"/>
          <w:b/>
          <w:color w:val="000000"/>
          <w:sz w:val="24"/>
          <w:lang w:val="ja-JP" w:eastAsia="ja-JP"/>
        </w:rPr>
        <w:t>東部部会</w:t>
      </w:r>
      <w:r>
        <w:rPr>
          <w:rFonts w:ascii="ＭＳ Ｐ明朝" w:eastAsia="ＭＳ Ｐ明朝" w:hAnsi="ＭＳ Ｐ明朝" w:hint="eastAsia"/>
          <w:b/>
          <w:color w:val="000000"/>
          <w:sz w:val="24"/>
          <w:lang w:val="ja-JP" w:eastAsia="ja-JP"/>
        </w:rPr>
        <w:t>第</w:t>
      </w:r>
      <w:r w:rsidR="007232D9">
        <w:rPr>
          <w:rFonts w:ascii="ＭＳ Ｐ明朝" w:eastAsia="ＭＳ Ｐ明朝" w:hAnsi="ＭＳ Ｐ明朝" w:hint="eastAsia"/>
          <w:b/>
          <w:color w:val="000000"/>
          <w:sz w:val="24"/>
          <w:lang w:val="ja-JP" w:eastAsia="ja-JP"/>
        </w:rPr>
        <w:t>6</w:t>
      </w:r>
      <w:r>
        <w:rPr>
          <w:rFonts w:ascii="ＭＳ Ｐ明朝" w:eastAsia="ＭＳ Ｐ明朝" w:hAnsi="ＭＳ Ｐ明朝" w:hint="eastAsia"/>
          <w:b/>
          <w:color w:val="000000"/>
          <w:sz w:val="24"/>
          <w:lang w:val="ja-JP" w:eastAsia="ja-JP"/>
        </w:rPr>
        <w:t>回</w:t>
      </w:r>
      <w:r w:rsidRPr="00DD6F52">
        <w:rPr>
          <w:rFonts w:ascii="ＭＳ Ｐ明朝" w:eastAsia="ＭＳ Ｐ明朝" w:hAnsi="ＭＳ Ｐ明朝"/>
          <w:b/>
          <w:color w:val="000000"/>
          <w:sz w:val="24"/>
          <w:lang w:val="ja-JP" w:eastAsia="ja-JP"/>
        </w:rPr>
        <w:t>研究報告会</w:t>
      </w:r>
      <w:r>
        <w:rPr>
          <w:rFonts w:ascii="ＭＳ Ｐ明朝" w:eastAsia="ＭＳ Ｐ明朝" w:hAnsi="ＭＳ Ｐ明朝" w:hint="eastAsia"/>
          <w:b/>
          <w:color w:val="000000"/>
          <w:sz w:val="24"/>
          <w:lang w:val="ja-JP" w:eastAsia="ja-JP"/>
        </w:rPr>
        <w:t>の</w:t>
      </w:r>
      <w:r w:rsidRPr="00DD6F52">
        <w:rPr>
          <w:rFonts w:ascii="ＭＳ Ｐ明朝" w:eastAsia="ＭＳ Ｐ明朝" w:hAnsi="ＭＳ Ｐ明朝"/>
          <w:b/>
          <w:color w:val="000000"/>
          <w:sz w:val="24"/>
          <w:lang w:val="ja-JP" w:eastAsia="ja-JP"/>
        </w:rPr>
        <w:t>開催</w:t>
      </w:r>
      <w:r>
        <w:rPr>
          <w:rFonts w:ascii="ＭＳ Ｐ明朝" w:eastAsia="ＭＳ Ｐ明朝" w:hAnsi="ＭＳ Ｐ明朝" w:hint="eastAsia"/>
          <w:b/>
          <w:color w:val="000000"/>
          <w:sz w:val="24"/>
          <w:lang w:val="ja-JP" w:eastAsia="ja-JP"/>
        </w:rPr>
        <w:t>報告</w:t>
      </w:r>
      <w:r w:rsidRPr="00DD6F52">
        <w:rPr>
          <w:rFonts w:ascii="ＭＳ Ｐ明朝" w:eastAsia="ＭＳ Ｐ明朝" w:hAnsi="ＭＳ Ｐ明朝"/>
          <w:color w:val="000000"/>
          <w:sz w:val="24"/>
          <w:lang w:val="ja-JP" w:eastAsia="ja-JP"/>
        </w:rPr>
        <w:t xml:space="preserve"> </w:t>
      </w:r>
    </w:p>
    <w:p w14:paraId="7D784832" w14:textId="7FBB8182" w:rsidR="00B322F4" w:rsidRPr="00B322F4" w:rsidRDefault="000913F7" w:rsidP="000913F7">
      <w:pPr>
        <w:spacing w:before="400" w:line="320" w:lineRule="exact"/>
        <w:ind w:firstLineChars="50" w:firstLine="105"/>
        <w:textAlignment w:val="baseline"/>
        <w:rPr>
          <w:rFonts w:ascii="ＭＳ Ｐ明朝" w:eastAsia="ＭＳ Ｐ明朝" w:hAnsi="ＭＳ Ｐ明朝"/>
          <w:color w:val="000000"/>
          <w:sz w:val="21"/>
          <w:lang w:val="ja-JP" w:eastAsia="ja-JP"/>
        </w:rPr>
      </w:pPr>
      <w:r w:rsidRPr="000913F7">
        <w:rPr>
          <w:rFonts w:ascii="ＭＳ Ｐ明朝" w:eastAsia="ＭＳ Ｐ明朝" w:hAnsi="ＭＳ Ｐ明朝" w:hint="eastAsia"/>
          <w:color w:val="000000"/>
          <w:sz w:val="21"/>
          <w:lang w:val="ja-JP" w:eastAsia="ja-JP"/>
        </w:rPr>
        <w:t>日本中小企業学会東部部会の</w:t>
      </w:r>
      <w:r w:rsidRPr="000913F7">
        <w:rPr>
          <w:rFonts w:ascii="ＭＳ Ｐ明朝" w:eastAsia="ＭＳ Ｐ明朝" w:hAnsi="ＭＳ Ｐ明朝"/>
          <w:color w:val="000000"/>
          <w:sz w:val="21"/>
          <w:lang w:val="ja-JP" w:eastAsia="ja-JP"/>
        </w:rPr>
        <w:t xml:space="preserve"> 202</w:t>
      </w:r>
      <w:r w:rsidR="007232D9">
        <w:rPr>
          <w:rFonts w:ascii="ＭＳ Ｐ明朝" w:eastAsia="ＭＳ Ｐ明朝" w:hAnsi="ＭＳ Ｐ明朝" w:hint="eastAsia"/>
          <w:color w:val="000000"/>
          <w:sz w:val="21"/>
          <w:lang w:val="ja-JP" w:eastAsia="ja-JP"/>
        </w:rPr>
        <w:t>6</w:t>
      </w:r>
      <w:r w:rsidRPr="000913F7">
        <w:rPr>
          <w:rFonts w:ascii="ＭＳ Ｐ明朝" w:eastAsia="ＭＳ Ｐ明朝" w:hAnsi="ＭＳ Ｐ明朝"/>
          <w:color w:val="000000"/>
          <w:sz w:val="21"/>
          <w:lang w:val="ja-JP" w:eastAsia="ja-JP"/>
        </w:rPr>
        <w:t xml:space="preserve"> </w:t>
      </w:r>
      <w:r w:rsidRPr="000913F7">
        <w:rPr>
          <w:rFonts w:ascii="ＭＳ Ｐ明朝" w:eastAsia="ＭＳ Ｐ明朝" w:hAnsi="ＭＳ Ｐ明朝" w:hint="eastAsia"/>
          <w:color w:val="000000"/>
          <w:sz w:val="21"/>
          <w:lang w:val="ja-JP" w:eastAsia="ja-JP"/>
        </w:rPr>
        <w:t>年度第</w:t>
      </w:r>
      <w:r w:rsidR="007232D9">
        <w:rPr>
          <w:rFonts w:ascii="ＭＳ Ｐ明朝" w:eastAsia="ＭＳ Ｐ明朝" w:hAnsi="ＭＳ Ｐ明朝" w:hint="eastAsia"/>
          <w:color w:val="000000"/>
          <w:sz w:val="21"/>
          <w:lang w:val="ja-JP" w:eastAsia="ja-JP"/>
        </w:rPr>
        <w:t>6</w:t>
      </w:r>
      <w:r w:rsidRPr="000913F7">
        <w:rPr>
          <w:rFonts w:ascii="ＭＳ Ｐ明朝" w:eastAsia="ＭＳ Ｐ明朝" w:hAnsi="ＭＳ Ｐ明朝" w:hint="eastAsia"/>
          <w:color w:val="000000"/>
          <w:sz w:val="21"/>
          <w:lang w:val="ja-JP" w:eastAsia="ja-JP"/>
        </w:rPr>
        <w:t>回研究報告会が対面で開催され、活発な議論が展開されました。</w:t>
      </w:r>
    </w:p>
    <w:p w14:paraId="3F883232" w14:textId="77777777" w:rsidR="00B322F4" w:rsidRPr="00B322F4" w:rsidRDefault="00B322F4" w:rsidP="00B322F4">
      <w:pPr>
        <w:pStyle w:val="a3"/>
        <w:spacing w:before="45" w:line="320" w:lineRule="exact"/>
        <w:ind w:leftChars="0" w:left="648"/>
        <w:textAlignment w:val="baseline"/>
        <w:rPr>
          <w:rFonts w:ascii="ＭＳ Ｐ明朝" w:eastAsia="ＭＳ Ｐ明朝" w:hAnsi="ＭＳ Ｐ明朝"/>
          <w:color w:val="000000"/>
          <w:sz w:val="21"/>
          <w:lang w:val="ja-JP" w:eastAsia="ja-JP"/>
        </w:rPr>
      </w:pPr>
    </w:p>
    <w:p w14:paraId="34C3062F" w14:textId="21333890" w:rsidR="000913F7" w:rsidRDefault="000913F7" w:rsidP="000913F7">
      <w:pPr>
        <w:pStyle w:val="a3"/>
        <w:numPr>
          <w:ilvl w:val="0"/>
          <w:numId w:val="1"/>
        </w:numPr>
        <w:spacing w:before="45" w:line="320" w:lineRule="exact"/>
        <w:ind w:leftChars="0"/>
        <w:textAlignment w:val="baseline"/>
        <w:rPr>
          <w:rFonts w:ascii="ＭＳ Ｐ明朝" w:eastAsia="ＭＳ Ｐ明朝" w:hAnsi="ＭＳ Ｐ明朝"/>
          <w:color w:val="000000"/>
          <w:spacing w:val="19"/>
          <w:sz w:val="21"/>
          <w:lang w:val="ja-JP" w:eastAsia="ja-JP"/>
        </w:rPr>
      </w:pPr>
      <w:r w:rsidRPr="000913F7">
        <w:rPr>
          <w:rFonts w:ascii="ＭＳ Ｐ明朝" w:eastAsia="ＭＳ Ｐ明朝" w:hAnsi="ＭＳ Ｐ明朝" w:hint="eastAsia"/>
          <w:color w:val="000000"/>
          <w:spacing w:val="19"/>
          <w:sz w:val="21"/>
          <w:lang w:val="ja-JP" w:eastAsia="ja-JP"/>
        </w:rPr>
        <w:t>日時：</w:t>
      </w:r>
      <w:r w:rsidR="007232D9" w:rsidRPr="007232D9">
        <w:rPr>
          <w:rFonts w:ascii="ＭＳ Ｐ明朝" w:eastAsia="ＭＳ Ｐ明朝" w:hAnsi="ＭＳ Ｐ明朝"/>
          <w:color w:val="000000"/>
          <w:spacing w:val="19"/>
          <w:sz w:val="21"/>
          <w:lang w:val="ja-JP" w:eastAsia="ja-JP"/>
        </w:rPr>
        <w:t>2026年7月19日（日） 13:00～16:00</w:t>
      </w:r>
    </w:p>
    <w:p w14:paraId="4AFB675D" w14:textId="2A050546" w:rsidR="00E81DB9" w:rsidRPr="000913F7" w:rsidRDefault="00E81DB9" w:rsidP="000913F7">
      <w:pPr>
        <w:pStyle w:val="a3"/>
        <w:numPr>
          <w:ilvl w:val="0"/>
          <w:numId w:val="1"/>
        </w:numPr>
        <w:spacing w:before="45" w:line="320" w:lineRule="exact"/>
        <w:ind w:leftChars="0"/>
        <w:textAlignment w:val="baseline"/>
        <w:rPr>
          <w:rFonts w:ascii="ＭＳ Ｐ明朝" w:eastAsia="ＭＳ Ｐ明朝" w:hAnsi="ＭＳ Ｐ明朝"/>
          <w:color w:val="000000"/>
          <w:spacing w:val="19"/>
          <w:sz w:val="21"/>
          <w:lang w:val="ja-JP" w:eastAsia="ja-JP"/>
        </w:rPr>
      </w:pPr>
      <w:r w:rsidRPr="00E81DB9">
        <w:rPr>
          <w:rFonts w:ascii="ＭＳ Ｐ明朝" w:eastAsia="ＭＳ Ｐ明朝" w:hAnsi="ＭＳ Ｐ明朝" w:hint="eastAsia"/>
          <w:color w:val="000000"/>
          <w:spacing w:val="19"/>
          <w:sz w:val="21"/>
          <w:lang w:val="ja-JP" w:eastAsia="ja-JP"/>
        </w:rPr>
        <w:t>参加人数：</w:t>
      </w:r>
      <w:r>
        <w:rPr>
          <w:rFonts w:ascii="ＭＳ Ｐ明朝" w:eastAsia="ＭＳ Ｐ明朝" w:hAnsi="ＭＳ Ｐ明朝" w:hint="eastAsia"/>
          <w:color w:val="000000"/>
          <w:spacing w:val="19"/>
          <w:sz w:val="21"/>
          <w:lang w:val="ja-JP" w:eastAsia="ja-JP"/>
        </w:rPr>
        <w:t>2</w:t>
      </w:r>
      <w:r w:rsidR="007232D9">
        <w:rPr>
          <w:rFonts w:ascii="ＭＳ Ｐ明朝" w:eastAsia="ＭＳ Ｐ明朝" w:hAnsi="ＭＳ Ｐ明朝" w:hint="eastAsia"/>
          <w:color w:val="000000"/>
          <w:spacing w:val="19"/>
          <w:sz w:val="21"/>
          <w:lang w:val="ja-JP" w:eastAsia="ja-JP"/>
        </w:rPr>
        <w:t>4</w:t>
      </w:r>
      <w:r w:rsidRPr="00E81DB9">
        <w:rPr>
          <w:rFonts w:ascii="ＭＳ Ｐ明朝" w:eastAsia="ＭＳ Ｐ明朝" w:hAnsi="ＭＳ Ｐ明朝"/>
          <w:color w:val="000000"/>
          <w:spacing w:val="19"/>
          <w:sz w:val="21"/>
          <w:lang w:val="ja-JP" w:eastAsia="ja-JP"/>
        </w:rPr>
        <w:t xml:space="preserve"> </w:t>
      </w:r>
      <w:r w:rsidRPr="00E81DB9">
        <w:rPr>
          <w:rFonts w:ascii="ＭＳ Ｐ明朝" w:eastAsia="ＭＳ Ｐ明朝" w:hAnsi="ＭＳ Ｐ明朝" w:hint="eastAsia"/>
          <w:color w:val="000000"/>
          <w:spacing w:val="19"/>
          <w:sz w:val="21"/>
          <w:lang w:val="ja-JP" w:eastAsia="ja-JP"/>
        </w:rPr>
        <w:t>名</w:t>
      </w:r>
    </w:p>
    <w:p w14:paraId="38D0F5D8" w14:textId="0A91B511" w:rsidR="000913F7" w:rsidRPr="000913F7" w:rsidRDefault="000913F7" w:rsidP="000913F7">
      <w:pPr>
        <w:pStyle w:val="a3"/>
        <w:numPr>
          <w:ilvl w:val="0"/>
          <w:numId w:val="1"/>
        </w:numPr>
        <w:spacing w:before="45" w:line="320" w:lineRule="exact"/>
        <w:ind w:leftChars="0"/>
        <w:textAlignment w:val="baseline"/>
        <w:rPr>
          <w:rFonts w:ascii="ＭＳ Ｐ明朝" w:eastAsia="ＭＳ Ｐ明朝" w:hAnsi="ＭＳ Ｐ明朝"/>
          <w:color w:val="000000"/>
          <w:spacing w:val="19"/>
          <w:sz w:val="21"/>
          <w:lang w:val="ja-JP" w:eastAsia="ja-JP"/>
        </w:rPr>
      </w:pPr>
      <w:r w:rsidRPr="000913F7">
        <w:rPr>
          <w:rFonts w:ascii="ＭＳ Ｐ明朝" w:eastAsia="ＭＳ Ｐ明朝" w:hAnsi="ＭＳ Ｐ明朝" w:hint="eastAsia"/>
          <w:color w:val="000000"/>
          <w:spacing w:val="19"/>
          <w:sz w:val="21"/>
          <w:lang w:val="ja-JP" w:eastAsia="ja-JP"/>
        </w:rPr>
        <w:t>ホスト・司会：岡田浩一（明治大学）</w:t>
      </w:r>
    </w:p>
    <w:p w14:paraId="43741EDC" w14:textId="1D13D7FD" w:rsidR="000913F7" w:rsidRDefault="000913F7" w:rsidP="000913F7">
      <w:pPr>
        <w:pStyle w:val="a3"/>
        <w:numPr>
          <w:ilvl w:val="0"/>
          <w:numId w:val="1"/>
        </w:numPr>
        <w:spacing w:before="45" w:line="320" w:lineRule="exact"/>
        <w:ind w:leftChars="0"/>
        <w:textAlignment w:val="baseline"/>
        <w:rPr>
          <w:rFonts w:ascii="ＭＳ Ｐ明朝" w:eastAsia="ＭＳ Ｐ明朝" w:hAnsi="ＭＳ Ｐ明朝"/>
          <w:color w:val="000000"/>
          <w:spacing w:val="19"/>
          <w:sz w:val="21"/>
          <w:lang w:val="ja-JP" w:eastAsia="ja-JP"/>
        </w:rPr>
      </w:pPr>
      <w:r w:rsidRPr="000913F7">
        <w:rPr>
          <w:rFonts w:ascii="ＭＳ Ｐ明朝" w:eastAsia="ＭＳ Ｐ明朝" w:hAnsi="ＭＳ Ｐ明朝" w:hint="eastAsia"/>
          <w:color w:val="000000"/>
          <w:spacing w:val="19"/>
          <w:sz w:val="21"/>
          <w:lang w:val="ja-JP" w:eastAsia="ja-JP"/>
        </w:rPr>
        <w:t>開催場所：</w:t>
      </w:r>
      <w:r w:rsidR="007232D9" w:rsidRPr="007232D9">
        <w:rPr>
          <w:rFonts w:ascii="ＭＳ Ｐ明朝" w:eastAsia="ＭＳ Ｐ明朝" w:hAnsi="ＭＳ Ｐ明朝"/>
          <w:color w:val="000000"/>
          <w:spacing w:val="19"/>
          <w:sz w:val="21"/>
          <w:lang w:val="ja-JP" w:eastAsia="ja-JP"/>
        </w:rPr>
        <w:t>明治大学（駿河台キャンパス）リバティタワー７階　１０７３教室</w:t>
      </w:r>
    </w:p>
    <w:p w14:paraId="55272196" w14:textId="77777777" w:rsidR="001C49BF" w:rsidRPr="000913F7" w:rsidRDefault="001C49BF" w:rsidP="009E7D3D">
      <w:pPr>
        <w:pStyle w:val="a3"/>
        <w:spacing w:before="45" w:line="320" w:lineRule="exact"/>
        <w:ind w:leftChars="0" w:left="584"/>
        <w:textAlignment w:val="baseline"/>
        <w:rPr>
          <w:rFonts w:ascii="ＭＳ Ｐ明朝" w:eastAsia="ＭＳ Ｐ明朝" w:hAnsi="ＭＳ Ｐ明朝"/>
          <w:color w:val="000000"/>
          <w:spacing w:val="19"/>
          <w:sz w:val="21"/>
          <w:lang w:val="ja-JP" w:eastAsia="ja-JP"/>
        </w:rPr>
      </w:pPr>
    </w:p>
    <w:p w14:paraId="581A7A91" w14:textId="67EA91FD" w:rsidR="000913F7" w:rsidRPr="000913F7" w:rsidRDefault="000913F7" w:rsidP="000913F7">
      <w:pPr>
        <w:pStyle w:val="a3"/>
        <w:numPr>
          <w:ilvl w:val="0"/>
          <w:numId w:val="1"/>
        </w:numPr>
        <w:spacing w:before="45" w:line="320" w:lineRule="exact"/>
        <w:ind w:leftChars="0"/>
        <w:textAlignment w:val="baseline"/>
        <w:rPr>
          <w:rFonts w:ascii="ＭＳ Ｐ明朝" w:eastAsia="ＭＳ Ｐ明朝" w:hAnsi="ＭＳ Ｐ明朝"/>
          <w:color w:val="000000"/>
          <w:spacing w:val="19"/>
          <w:sz w:val="21"/>
          <w:lang w:val="ja-JP" w:eastAsia="ja-JP"/>
        </w:rPr>
      </w:pPr>
      <w:r w:rsidRPr="000913F7">
        <w:rPr>
          <w:rFonts w:ascii="ＭＳ Ｐ明朝" w:eastAsia="ＭＳ Ｐ明朝" w:hAnsi="ＭＳ Ｐ明朝" w:hint="eastAsia"/>
          <w:color w:val="000000"/>
          <w:sz w:val="21"/>
          <w:lang w:val="ja-JP" w:eastAsia="ja-JP"/>
        </w:rPr>
        <w:t>【研究報告１】</w:t>
      </w:r>
    </w:p>
    <w:p w14:paraId="406173EE" w14:textId="2CF38948" w:rsidR="007A51D1" w:rsidRPr="007A51D1" w:rsidRDefault="007A51D1" w:rsidP="007A51D1">
      <w:pPr>
        <w:spacing w:before="45" w:line="320" w:lineRule="exact"/>
        <w:ind w:firstLineChars="250" w:firstLine="572"/>
        <w:textAlignment w:val="baseline"/>
        <w:rPr>
          <w:rFonts w:ascii="ＭＳ Ｐ明朝" w:eastAsia="ＭＳ Ｐ明朝" w:hAnsi="ＭＳ Ｐ明朝"/>
          <w:color w:val="000000"/>
          <w:spacing w:val="19"/>
          <w:sz w:val="21"/>
          <w:lang w:val="ja-JP" w:eastAsia="zh-CN"/>
        </w:rPr>
      </w:pPr>
      <w:r w:rsidRPr="007A51D1">
        <w:rPr>
          <w:rFonts w:ascii="ＭＳ Ｐ明朝" w:eastAsia="ＭＳ Ｐ明朝" w:hAnsi="ＭＳ Ｐ明朝" w:hint="eastAsia"/>
          <w:color w:val="000000"/>
          <w:spacing w:val="19"/>
          <w:sz w:val="21"/>
          <w:lang w:val="ja-JP" w:eastAsia="zh-CN"/>
        </w:rPr>
        <w:t>報告者：張穎琪（慶応義塾大学大学院）</w:t>
      </w:r>
    </w:p>
    <w:p w14:paraId="75A958C9" w14:textId="260E202A" w:rsidR="007A51D1" w:rsidRPr="007A51D1" w:rsidRDefault="007A51D1" w:rsidP="007A51D1">
      <w:pPr>
        <w:spacing w:before="45" w:line="320" w:lineRule="exact"/>
        <w:ind w:firstLineChars="250" w:firstLine="572"/>
        <w:textAlignment w:val="baseline"/>
        <w:rPr>
          <w:rFonts w:ascii="ＭＳ Ｐ明朝" w:eastAsia="ＭＳ Ｐ明朝" w:hAnsi="ＭＳ Ｐ明朝"/>
          <w:color w:val="000000"/>
          <w:spacing w:val="19"/>
          <w:sz w:val="21"/>
          <w:lang w:val="ja-JP" w:eastAsia="ja-JP"/>
        </w:rPr>
      </w:pPr>
      <w:r w:rsidRPr="007A51D1">
        <w:rPr>
          <w:rFonts w:ascii="ＭＳ Ｐ明朝" w:eastAsia="ＭＳ Ｐ明朝" w:hAnsi="ＭＳ Ｐ明朝" w:hint="eastAsia"/>
          <w:color w:val="000000"/>
          <w:spacing w:val="19"/>
          <w:sz w:val="21"/>
          <w:lang w:val="ja-JP" w:eastAsia="ja-JP"/>
        </w:rPr>
        <w:t>テーマ：「中国</w:t>
      </w:r>
      <w:r w:rsidRPr="007A51D1">
        <w:rPr>
          <w:rFonts w:ascii="ＭＳ Ｐ明朝" w:eastAsia="ＭＳ Ｐ明朝" w:hAnsi="ＭＳ Ｐ明朝"/>
          <w:color w:val="000000"/>
          <w:spacing w:val="19"/>
          <w:sz w:val="21"/>
          <w:lang w:val="ja-JP" w:eastAsia="ja-JP"/>
        </w:rPr>
        <w:t>xEV</w:t>
      </w:r>
      <w:r w:rsidRPr="007A51D1">
        <w:rPr>
          <w:rFonts w:ascii="ＭＳ Ｐ明朝" w:eastAsia="ＭＳ Ｐ明朝" w:hAnsi="ＭＳ Ｐ明朝" w:hint="eastAsia"/>
          <w:color w:val="000000"/>
          <w:spacing w:val="19"/>
          <w:sz w:val="21"/>
          <w:lang w:val="ja-JP" w:eastAsia="ja-JP"/>
        </w:rPr>
        <w:t>モーター産業の品質向上を支える中核部品の供給</w:t>
      </w:r>
    </w:p>
    <w:p w14:paraId="0C7028F5" w14:textId="77777777" w:rsidR="007A51D1" w:rsidRDefault="007A51D1" w:rsidP="007A51D1">
      <w:pPr>
        <w:pStyle w:val="a3"/>
        <w:spacing w:before="45" w:line="320" w:lineRule="exact"/>
        <w:ind w:leftChars="0" w:left="584"/>
        <w:textAlignment w:val="baseline"/>
        <w:rPr>
          <w:rFonts w:ascii="ＭＳ Ｐ明朝" w:eastAsia="ＭＳ Ｐ明朝" w:hAnsi="ＭＳ Ｐ明朝"/>
          <w:color w:val="000000"/>
          <w:spacing w:val="19"/>
          <w:sz w:val="21"/>
          <w:lang w:val="ja-JP" w:eastAsia="ja-JP"/>
        </w:rPr>
      </w:pPr>
      <w:r w:rsidRPr="007A51D1">
        <w:rPr>
          <w:rFonts w:ascii="ＭＳ Ｐ明朝" w:eastAsia="ＭＳ Ｐ明朝" w:hAnsi="ＭＳ Ｐ明朝" w:hint="eastAsia"/>
          <w:color w:val="000000"/>
          <w:spacing w:val="19"/>
          <w:sz w:val="21"/>
          <w:lang w:val="ja-JP" w:eastAsia="ja-JP"/>
        </w:rPr>
        <w:t xml:space="preserve">　　　　　－中国金型企業における「統合型ものづくり組織能力」の形成に</w:t>
      </w:r>
    </w:p>
    <w:p w14:paraId="3E460940" w14:textId="77777777" w:rsidR="007A51D1" w:rsidRDefault="007A51D1" w:rsidP="007A51D1">
      <w:pPr>
        <w:pStyle w:val="a3"/>
        <w:spacing w:before="45" w:line="320" w:lineRule="exact"/>
        <w:ind w:leftChars="0" w:left="584" w:firstLineChars="350" w:firstLine="801"/>
        <w:textAlignment w:val="baseline"/>
        <w:rPr>
          <w:rFonts w:ascii="ＭＳ Ｐ明朝" w:eastAsia="ＭＳ Ｐ明朝" w:hAnsi="ＭＳ Ｐ明朝"/>
          <w:color w:val="000000"/>
          <w:spacing w:val="19"/>
          <w:sz w:val="21"/>
          <w:lang w:val="ja-JP" w:eastAsia="ja-JP"/>
        </w:rPr>
      </w:pPr>
      <w:r w:rsidRPr="007A51D1">
        <w:rPr>
          <w:rFonts w:ascii="ＭＳ Ｐ明朝" w:eastAsia="ＭＳ Ｐ明朝" w:hAnsi="ＭＳ Ｐ明朝" w:hint="eastAsia"/>
          <w:color w:val="000000"/>
          <w:spacing w:val="19"/>
          <w:sz w:val="21"/>
          <w:lang w:val="ja-JP" w:eastAsia="ja-JP"/>
        </w:rPr>
        <w:t>着目して－」</w:t>
      </w:r>
    </w:p>
    <w:p w14:paraId="0BA6F257" w14:textId="45E005A9" w:rsidR="000913F7" w:rsidRPr="007A51D1" w:rsidRDefault="000913F7" w:rsidP="007A51D1">
      <w:pPr>
        <w:spacing w:before="45" w:line="320" w:lineRule="exact"/>
        <w:ind w:firstLineChars="300" w:firstLine="630"/>
        <w:textAlignment w:val="baseline"/>
        <w:rPr>
          <w:rFonts w:ascii="ＭＳ Ｐ明朝" w:eastAsia="ＭＳ Ｐ明朝" w:hAnsi="ＭＳ Ｐ明朝"/>
          <w:color w:val="000000"/>
          <w:sz w:val="21"/>
          <w:lang w:val="ja-JP" w:eastAsia="ja-JP"/>
        </w:rPr>
      </w:pPr>
      <w:r w:rsidRPr="007A51D1">
        <w:rPr>
          <w:rFonts w:ascii="ＭＳ Ｐ明朝" w:eastAsia="ＭＳ Ｐ明朝" w:hAnsi="ＭＳ Ｐ明朝" w:hint="eastAsia"/>
          <w:color w:val="000000"/>
          <w:sz w:val="21"/>
          <w:lang w:val="ja-JP" w:eastAsia="ja-JP"/>
        </w:rPr>
        <w:t>報告概要：</w:t>
      </w:r>
    </w:p>
    <w:p w14:paraId="0730C94B" w14:textId="2F3A859A" w:rsidR="007E2AE2" w:rsidRPr="007E2AE2" w:rsidRDefault="007E2AE2" w:rsidP="007E2AE2">
      <w:pPr>
        <w:pStyle w:val="a3"/>
        <w:spacing w:before="45" w:line="320" w:lineRule="exact"/>
        <w:ind w:left="880" w:firstLineChars="100" w:firstLine="210"/>
        <w:textAlignment w:val="baseline"/>
        <w:rPr>
          <w:rFonts w:ascii="ＭＳ Ｐ明朝" w:eastAsia="ＭＳ Ｐ明朝" w:hAnsi="ＭＳ Ｐ明朝"/>
          <w:color w:val="000000"/>
          <w:sz w:val="21"/>
          <w:lang w:val="ja-JP" w:eastAsia="ja-JP"/>
        </w:rPr>
      </w:pPr>
      <w:r w:rsidRPr="007E2AE2">
        <w:rPr>
          <w:rFonts w:ascii="ＭＳ Ｐ明朝" w:eastAsia="ＭＳ Ｐ明朝" w:hAnsi="ＭＳ Ｐ明朝" w:hint="eastAsia"/>
          <w:color w:val="000000"/>
          <w:sz w:val="21"/>
          <w:lang w:val="ja-JP" w:eastAsia="ja-JP"/>
        </w:rPr>
        <w:t>近年、中国では民族系企業が</w:t>
      </w:r>
      <w:r w:rsidRPr="007E2AE2">
        <w:rPr>
          <w:rFonts w:ascii="ＭＳ Ｐ明朝" w:eastAsia="ＭＳ Ｐ明朝" w:hAnsi="ＭＳ Ｐ明朝"/>
          <w:color w:val="000000"/>
          <w:sz w:val="21"/>
          <w:lang w:val="ja-JP" w:eastAsia="ja-JP"/>
        </w:rPr>
        <w:t>xEV</w:t>
      </w:r>
      <w:r w:rsidRPr="007E2AE2">
        <w:rPr>
          <w:rFonts w:ascii="ＭＳ Ｐ明朝" w:eastAsia="ＭＳ Ｐ明朝" w:hAnsi="ＭＳ Ｐ明朝" w:hint="eastAsia"/>
          <w:color w:val="000000"/>
          <w:sz w:val="21"/>
          <w:lang w:val="ja-JP" w:eastAsia="ja-JP"/>
        </w:rPr>
        <w:t>モーター供給の約半分を担い、高性能モーター市場においても重要な供給主体となっている。本報告では、その供給を可能にした条件の一つとして、モーター性能の実現・向上を左右する</w:t>
      </w:r>
      <w:r w:rsidRPr="007E2AE2">
        <w:rPr>
          <w:rFonts w:ascii="ＭＳ Ｐ明朝" w:eastAsia="ＭＳ Ｐ明朝" w:hAnsi="ＭＳ Ｐ明朝"/>
          <w:color w:val="000000"/>
          <w:sz w:val="21"/>
          <w:lang w:val="ja-JP" w:eastAsia="ja-JP"/>
        </w:rPr>
        <w:t>xEV</w:t>
      </w:r>
      <w:r w:rsidRPr="007E2AE2">
        <w:rPr>
          <w:rFonts w:ascii="ＭＳ Ｐ明朝" w:eastAsia="ＭＳ Ｐ明朝" w:hAnsi="ＭＳ Ｐ明朝" w:hint="eastAsia"/>
          <w:color w:val="000000"/>
          <w:sz w:val="21"/>
          <w:lang w:val="ja-JP" w:eastAsia="ja-JP"/>
        </w:rPr>
        <w:t>モーターコア用金型（以下、</w:t>
      </w:r>
      <w:r w:rsidRPr="007E2AE2">
        <w:rPr>
          <w:rFonts w:ascii="ＭＳ Ｐ明朝" w:eastAsia="ＭＳ Ｐ明朝" w:hAnsi="ＭＳ Ｐ明朝"/>
          <w:color w:val="000000"/>
          <w:sz w:val="21"/>
          <w:lang w:val="ja-JP" w:eastAsia="ja-JP"/>
        </w:rPr>
        <w:t>xEV</w:t>
      </w:r>
      <w:r w:rsidRPr="007E2AE2">
        <w:rPr>
          <w:rFonts w:ascii="ＭＳ Ｐ明朝" w:eastAsia="ＭＳ Ｐ明朝" w:hAnsi="ＭＳ Ｐ明朝" w:hint="eastAsia"/>
          <w:color w:val="000000"/>
          <w:sz w:val="21"/>
          <w:lang w:val="ja-JP" w:eastAsia="ja-JP"/>
        </w:rPr>
        <w:t>モーター金型）に着目する。</w:t>
      </w:r>
    </w:p>
    <w:p w14:paraId="75A6F8CA" w14:textId="77777777" w:rsidR="007E2AE2" w:rsidRPr="007E2AE2" w:rsidRDefault="007E2AE2" w:rsidP="007E2AE2">
      <w:pPr>
        <w:pStyle w:val="a3"/>
        <w:spacing w:before="45" w:line="320" w:lineRule="exact"/>
        <w:ind w:left="880" w:firstLineChars="100" w:firstLine="210"/>
        <w:textAlignment w:val="baseline"/>
        <w:rPr>
          <w:rFonts w:ascii="ＭＳ Ｐ明朝" w:eastAsia="ＭＳ Ｐ明朝" w:hAnsi="ＭＳ Ｐ明朝"/>
          <w:color w:val="000000"/>
          <w:sz w:val="21"/>
          <w:lang w:val="ja-JP" w:eastAsia="ja-JP"/>
        </w:rPr>
      </w:pPr>
      <w:r w:rsidRPr="007E2AE2">
        <w:rPr>
          <w:rFonts w:ascii="ＭＳ Ｐ明朝" w:eastAsia="ＭＳ Ｐ明朝" w:hAnsi="ＭＳ Ｐ明朝" w:hint="eastAsia"/>
          <w:color w:val="000000"/>
          <w:sz w:val="21"/>
          <w:lang w:val="ja-JP" w:eastAsia="ja-JP"/>
        </w:rPr>
        <w:t>従来の中国金型産業研究では、中国金型企業は、高い労働力流動性のもとで工程を細分化し、単能工を活用する生産方式を形成してきたとされる。この方式は、当時の中国市場における比較的要求水準の低い金型需要に対応するうえで合理性を有していた一方、金型製作の各段階にまたがる高度なすり合わせを必要とする金型の供給には制約があった。そのため、中国企業は設計・工程開発を含む一貫対応が困難であり、比較的要求水準の低い金型への対応にとどまっていたと理解されてきた。しかし現在では、中国企業のなかにも、高度なすり合わせを必要とする</w:t>
      </w:r>
      <w:r w:rsidRPr="007E2AE2">
        <w:rPr>
          <w:rFonts w:ascii="ＭＳ Ｐ明朝" w:eastAsia="ＭＳ Ｐ明朝" w:hAnsi="ＭＳ Ｐ明朝"/>
          <w:color w:val="000000"/>
          <w:sz w:val="21"/>
          <w:lang w:val="ja-JP" w:eastAsia="ja-JP"/>
        </w:rPr>
        <w:t>xEV</w:t>
      </w:r>
      <w:r w:rsidRPr="007E2AE2">
        <w:rPr>
          <w:rFonts w:ascii="ＭＳ Ｐ明朝" w:eastAsia="ＭＳ Ｐ明朝" w:hAnsi="ＭＳ Ｐ明朝" w:hint="eastAsia"/>
          <w:color w:val="000000"/>
          <w:sz w:val="21"/>
          <w:lang w:val="ja-JP" w:eastAsia="ja-JP"/>
        </w:rPr>
        <w:t>モーター金型を供給し、世界上位の実績を有する企業が存在する。この事実は、従来の中国金型産業に対する理解だけでは十分に説明できない。そこで本報告では、浙江省寧波市の中国金型企業二社を対象に、</w:t>
      </w:r>
      <w:r w:rsidRPr="007E2AE2">
        <w:rPr>
          <w:rFonts w:ascii="ＭＳ Ｐ明朝" w:eastAsia="ＭＳ Ｐ明朝" w:hAnsi="ＭＳ Ｐ明朝"/>
          <w:color w:val="000000"/>
          <w:sz w:val="21"/>
          <w:lang w:val="ja-JP" w:eastAsia="ja-JP"/>
        </w:rPr>
        <w:t>xEV</w:t>
      </w:r>
      <w:r w:rsidRPr="007E2AE2">
        <w:rPr>
          <w:rFonts w:ascii="ＭＳ Ｐ明朝" w:eastAsia="ＭＳ Ｐ明朝" w:hAnsi="ＭＳ Ｐ明朝" w:hint="eastAsia"/>
          <w:color w:val="000000"/>
          <w:sz w:val="21"/>
          <w:lang w:val="ja-JP" w:eastAsia="ja-JP"/>
        </w:rPr>
        <w:t>モーター金型の設計・製造に必要なすり合わせをどのように実現しているのかを明らかにする。</w:t>
      </w:r>
    </w:p>
    <w:p w14:paraId="673E91A9" w14:textId="73244238" w:rsidR="00E81DB9" w:rsidRDefault="007E2AE2" w:rsidP="007E2AE2">
      <w:pPr>
        <w:pStyle w:val="a3"/>
        <w:spacing w:before="45" w:line="320" w:lineRule="exact"/>
        <w:ind w:left="880" w:firstLineChars="100" w:firstLine="210"/>
        <w:textAlignment w:val="baseline"/>
        <w:rPr>
          <w:rFonts w:ascii="ＭＳ Ｐ明朝" w:eastAsia="ＭＳ Ｐ明朝" w:hAnsi="ＭＳ Ｐ明朝"/>
          <w:color w:val="000000"/>
          <w:sz w:val="21"/>
          <w:lang w:val="ja-JP" w:eastAsia="ja-JP"/>
        </w:rPr>
      </w:pPr>
      <w:r w:rsidRPr="007E2AE2">
        <w:rPr>
          <w:rFonts w:ascii="ＭＳ Ｐ明朝" w:eastAsia="ＭＳ Ｐ明朝" w:hAnsi="ＭＳ Ｐ明朝" w:hint="eastAsia"/>
          <w:color w:val="000000"/>
          <w:sz w:val="21"/>
          <w:lang w:val="ja-JP" w:eastAsia="ja-JP"/>
        </w:rPr>
        <w:t>事例分析から、事例企業では知識ベースによってすり合わせを必要とする範囲を縮小し、なお必要となるすり合わせを中核設計者と工芸工程師が担うことで、分業化された生産体制を維持しながら、</w:t>
      </w:r>
      <w:r w:rsidRPr="007E2AE2">
        <w:rPr>
          <w:rFonts w:ascii="ＭＳ Ｐ明朝" w:eastAsia="ＭＳ Ｐ明朝" w:hAnsi="ＭＳ Ｐ明朝"/>
          <w:color w:val="000000"/>
          <w:sz w:val="21"/>
          <w:lang w:val="ja-JP" w:eastAsia="ja-JP"/>
        </w:rPr>
        <w:t>xEV</w:t>
      </w:r>
      <w:r w:rsidRPr="007E2AE2">
        <w:rPr>
          <w:rFonts w:ascii="ＭＳ Ｐ明朝" w:eastAsia="ＭＳ Ｐ明朝" w:hAnsi="ＭＳ Ｐ明朝" w:hint="eastAsia"/>
          <w:color w:val="000000"/>
          <w:sz w:val="21"/>
          <w:lang w:val="ja-JP" w:eastAsia="ja-JP"/>
        </w:rPr>
        <w:t>モーター金型の設計・製造に必要な高度なすり合わせを実現していることが明らかとなった。この仕組みは「統合型ものづくり組織能力」として理解できる。日本（金型）企業が長期雇用のもとで多数の多能工・多能設計者を育成することが、その能力の形成を支えてきたとされる。これに対して、中国金型企業は高い労働</w:t>
      </w:r>
      <w:r w:rsidRPr="007E2AE2">
        <w:rPr>
          <w:rFonts w:ascii="ＭＳ Ｐ明朝" w:eastAsia="ＭＳ Ｐ明朝" w:hAnsi="ＭＳ Ｐ明朝" w:hint="eastAsia"/>
          <w:color w:val="000000"/>
          <w:sz w:val="21"/>
          <w:lang w:val="ja-JP" w:eastAsia="ja-JP"/>
        </w:rPr>
        <w:lastRenderedPageBreak/>
        <w:t>力流動性のもとでも、知識ベースと少数の中核人材を組み合わせることにより、中国的な「統合型ものづくり組織能力」が形成されうることを示している。</w:t>
      </w:r>
    </w:p>
    <w:p w14:paraId="604250E5" w14:textId="1CB8976E" w:rsidR="007109BE" w:rsidRPr="007109BE" w:rsidRDefault="007109BE" w:rsidP="007109BE">
      <w:pPr>
        <w:pStyle w:val="a3"/>
        <w:spacing w:before="45" w:line="320" w:lineRule="exact"/>
        <w:ind w:left="880" w:firstLineChars="100" w:firstLine="210"/>
        <w:textAlignment w:val="baseline"/>
        <w:rPr>
          <w:rFonts w:ascii="ＭＳ Ｐ明朝" w:eastAsia="ＭＳ Ｐ明朝" w:hAnsi="ＭＳ Ｐ明朝"/>
          <w:color w:val="000000"/>
          <w:sz w:val="21"/>
          <w:lang w:val="ja-JP" w:eastAsia="ja-JP"/>
        </w:rPr>
      </w:pPr>
      <w:r w:rsidRPr="007109BE">
        <w:rPr>
          <w:rFonts w:ascii="ＭＳ Ｐ明朝" w:eastAsia="ＭＳ Ｐ明朝" w:hAnsi="ＭＳ Ｐ明朝" w:hint="eastAsia"/>
          <w:color w:val="000000"/>
          <w:sz w:val="21"/>
          <w:lang w:val="ja-JP" w:eastAsia="ja-JP"/>
        </w:rPr>
        <w:t>報告後の質疑応答では、日本の中小企業と比較することの妥当性や、家電モーターから電気自動車向けへの動体的な能力変化のプロセスなどが議論された。</w:t>
      </w:r>
    </w:p>
    <w:p w14:paraId="6B265973" w14:textId="77777777" w:rsidR="007109BE" w:rsidRPr="007109BE" w:rsidRDefault="007109BE" w:rsidP="007109BE">
      <w:pPr>
        <w:pStyle w:val="a3"/>
        <w:spacing w:before="45" w:line="320" w:lineRule="exact"/>
        <w:ind w:left="880" w:firstLineChars="100" w:firstLine="210"/>
        <w:textAlignment w:val="baseline"/>
        <w:rPr>
          <w:rFonts w:ascii="ＭＳ Ｐ明朝" w:eastAsia="ＭＳ Ｐ明朝" w:hAnsi="ＭＳ Ｐ明朝"/>
          <w:color w:val="000000"/>
          <w:sz w:val="21"/>
          <w:lang w:val="ja-JP" w:eastAsia="ja-JP"/>
        </w:rPr>
      </w:pPr>
    </w:p>
    <w:p w14:paraId="415C0D1F" w14:textId="330B56E7" w:rsidR="007232D9" w:rsidRPr="007232D9" w:rsidRDefault="007232D9" w:rsidP="007232D9">
      <w:pPr>
        <w:pStyle w:val="Web"/>
        <w:ind w:left="880"/>
        <w:jc w:val="center"/>
      </w:pPr>
      <w:r w:rsidRPr="007232D9">
        <w:rPr>
          <w:noProof/>
        </w:rPr>
        <w:drawing>
          <wp:inline distT="0" distB="0" distL="0" distR="0" wp14:anchorId="4A65E056" wp14:editId="3ABAB785">
            <wp:extent cx="3501957" cy="4669275"/>
            <wp:effectExtent l="0" t="0" r="3810" b="0"/>
            <wp:docPr id="1018318294"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06822" cy="4675761"/>
                    </a:xfrm>
                    <a:prstGeom prst="rect">
                      <a:avLst/>
                    </a:prstGeom>
                    <a:noFill/>
                    <a:ln>
                      <a:noFill/>
                    </a:ln>
                  </pic:spPr>
                </pic:pic>
              </a:graphicData>
            </a:graphic>
          </wp:inline>
        </w:drawing>
      </w:r>
    </w:p>
    <w:p w14:paraId="2C53BD97" w14:textId="510D54C4" w:rsidR="00412928" w:rsidRDefault="00412928">
      <w:pPr>
        <w:rPr>
          <w:rFonts w:ascii="ＭＳ Ｐ明朝" w:eastAsia="ＭＳ Ｐ明朝" w:hAnsi="ＭＳ Ｐ明朝"/>
          <w:color w:val="000000"/>
          <w:sz w:val="21"/>
          <w:lang w:val="ja-JP" w:eastAsia="ja-JP"/>
        </w:rPr>
      </w:pPr>
    </w:p>
    <w:p w14:paraId="0F7063D4" w14:textId="4351987D" w:rsidR="000913F7" w:rsidRPr="000913F7" w:rsidRDefault="000913F7" w:rsidP="000913F7">
      <w:pPr>
        <w:pStyle w:val="a3"/>
        <w:numPr>
          <w:ilvl w:val="0"/>
          <w:numId w:val="1"/>
        </w:numPr>
        <w:spacing w:before="45" w:line="320" w:lineRule="exact"/>
        <w:ind w:leftChars="0"/>
        <w:textAlignment w:val="baseline"/>
        <w:rPr>
          <w:rFonts w:ascii="ＭＳ Ｐ明朝" w:eastAsia="ＭＳ Ｐ明朝" w:hAnsi="ＭＳ Ｐ明朝"/>
          <w:color w:val="000000"/>
          <w:spacing w:val="19"/>
          <w:sz w:val="21"/>
          <w:lang w:val="ja-JP" w:eastAsia="ja-JP"/>
        </w:rPr>
      </w:pPr>
      <w:r w:rsidRPr="000913F7">
        <w:rPr>
          <w:rFonts w:ascii="ＭＳ Ｐ明朝" w:eastAsia="ＭＳ Ｐ明朝" w:hAnsi="ＭＳ Ｐ明朝" w:hint="eastAsia"/>
          <w:color w:val="000000"/>
          <w:sz w:val="21"/>
          <w:lang w:val="ja-JP" w:eastAsia="ja-JP"/>
        </w:rPr>
        <w:t>【研究報告</w:t>
      </w:r>
      <w:r>
        <w:rPr>
          <w:rFonts w:ascii="ＭＳ Ｐ明朝" w:eastAsia="ＭＳ Ｐ明朝" w:hAnsi="ＭＳ Ｐ明朝" w:hint="eastAsia"/>
          <w:color w:val="000000"/>
          <w:sz w:val="21"/>
          <w:lang w:val="ja-JP" w:eastAsia="ja-JP"/>
        </w:rPr>
        <w:t>2</w:t>
      </w:r>
      <w:r w:rsidRPr="000913F7">
        <w:rPr>
          <w:rFonts w:ascii="ＭＳ Ｐ明朝" w:eastAsia="ＭＳ Ｐ明朝" w:hAnsi="ＭＳ Ｐ明朝" w:hint="eastAsia"/>
          <w:color w:val="000000"/>
          <w:sz w:val="21"/>
          <w:lang w:val="ja-JP" w:eastAsia="ja-JP"/>
        </w:rPr>
        <w:t>】</w:t>
      </w:r>
    </w:p>
    <w:p w14:paraId="12F2AC76" w14:textId="79D20123" w:rsidR="00F361A2" w:rsidRPr="00F361A2" w:rsidRDefault="00F361A2" w:rsidP="00F361A2">
      <w:pPr>
        <w:spacing w:before="45" w:line="320" w:lineRule="exact"/>
        <w:ind w:firstLineChars="250" w:firstLine="572"/>
        <w:textAlignment w:val="baseline"/>
        <w:rPr>
          <w:rFonts w:ascii="ＭＳ Ｐ明朝" w:eastAsia="ＭＳ Ｐ明朝" w:hAnsi="ＭＳ Ｐ明朝"/>
          <w:color w:val="000000"/>
          <w:spacing w:val="19"/>
          <w:sz w:val="21"/>
          <w:lang w:val="ja-JP" w:eastAsia="ja-JP"/>
        </w:rPr>
      </w:pPr>
      <w:r w:rsidRPr="00F361A2">
        <w:rPr>
          <w:rFonts w:ascii="ＭＳ Ｐ明朝" w:eastAsia="ＭＳ Ｐ明朝" w:hAnsi="ＭＳ Ｐ明朝" w:hint="eastAsia"/>
          <w:color w:val="000000"/>
          <w:spacing w:val="19"/>
          <w:sz w:val="21"/>
          <w:lang w:val="ja-JP" w:eastAsia="ja-JP"/>
        </w:rPr>
        <w:t>報告者：</w:t>
      </w:r>
      <w:r w:rsidR="00F802A3" w:rsidRPr="00F802A3">
        <w:rPr>
          <w:rFonts w:ascii="ＭＳ Ｐ明朝" w:eastAsia="ＭＳ Ｐ明朝" w:hAnsi="ＭＳ Ｐ明朝"/>
          <w:color w:val="000000"/>
          <w:spacing w:val="19"/>
          <w:sz w:val="21"/>
          <w:lang w:val="ja-JP" w:eastAsia="ja-JP"/>
        </w:rPr>
        <w:t>深瀬豊（独立行政法人国際協力機構）・山本聡（東洋大学）</w:t>
      </w:r>
    </w:p>
    <w:p w14:paraId="41E10981" w14:textId="77777777" w:rsidR="00F361A2" w:rsidRDefault="00F361A2" w:rsidP="00F361A2">
      <w:pPr>
        <w:pStyle w:val="a3"/>
        <w:spacing w:before="45" w:line="320" w:lineRule="exact"/>
        <w:ind w:leftChars="0" w:left="584"/>
        <w:textAlignment w:val="baseline"/>
        <w:rPr>
          <w:rFonts w:ascii="ＭＳ Ｐ明朝" w:eastAsia="ＭＳ Ｐ明朝" w:hAnsi="ＭＳ Ｐ明朝"/>
          <w:color w:val="000000"/>
          <w:spacing w:val="19"/>
          <w:sz w:val="21"/>
          <w:lang w:val="ja-JP" w:eastAsia="ja-JP"/>
        </w:rPr>
      </w:pPr>
      <w:r w:rsidRPr="00F361A2">
        <w:rPr>
          <w:rFonts w:ascii="ＭＳ Ｐ明朝" w:eastAsia="ＭＳ Ｐ明朝" w:hAnsi="ＭＳ Ｐ明朝" w:hint="eastAsia"/>
          <w:color w:val="000000"/>
          <w:spacing w:val="19"/>
          <w:sz w:val="21"/>
          <w:lang w:val="ja-JP" w:eastAsia="ja-JP"/>
        </w:rPr>
        <w:t>テーマ：「ウガンダの日本人女性社会起業家と現地女性従業員の</w:t>
      </w:r>
    </w:p>
    <w:p w14:paraId="04168E8C" w14:textId="70673173" w:rsidR="00F361A2" w:rsidRDefault="00F361A2" w:rsidP="00F361A2">
      <w:pPr>
        <w:pStyle w:val="a3"/>
        <w:spacing w:before="45" w:line="320" w:lineRule="exact"/>
        <w:ind w:leftChars="0" w:left="584" w:firstLineChars="350" w:firstLine="801"/>
        <w:textAlignment w:val="baseline"/>
        <w:rPr>
          <w:rFonts w:ascii="ＭＳ Ｐ明朝" w:eastAsia="ＭＳ Ｐ明朝" w:hAnsi="ＭＳ Ｐ明朝"/>
          <w:color w:val="000000"/>
          <w:spacing w:val="19"/>
          <w:sz w:val="21"/>
          <w:lang w:val="ja-JP" w:eastAsia="ja-JP"/>
        </w:rPr>
      </w:pPr>
      <w:r w:rsidRPr="00F361A2">
        <w:rPr>
          <w:rFonts w:ascii="ＭＳ Ｐ明朝" w:eastAsia="ＭＳ Ｐ明朝" w:hAnsi="ＭＳ Ｐ明朝" w:hint="eastAsia"/>
          <w:color w:val="000000"/>
          <w:spacing w:val="19"/>
          <w:sz w:val="21"/>
          <w:lang w:val="ja-JP" w:eastAsia="ja-JP"/>
        </w:rPr>
        <w:t>エンパワーメント」</w:t>
      </w:r>
    </w:p>
    <w:p w14:paraId="3F0AFF4E" w14:textId="710FBEC5" w:rsidR="000913F7" w:rsidRDefault="000913F7" w:rsidP="00F361A2">
      <w:pPr>
        <w:pStyle w:val="a3"/>
        <w:spacing w:before="45" w:line="320" w:lineRule="exact"/>
        <w:ind w:leftChars="0" w:left="584"/>
        <w:textAlignment w:val="baseline"/>
        <w:rPr>
          <w:rFonts w:ascii="ＭＳ Ｐ明朝" w:eastAsia="ＭＳ Ｐ明朝" w:hAnsi="ＭＳ Ｐ明朝"/>
          <w:color w:val="000000"/>
          <w:sz w:val="21"/>
          <w:lang w:val="ja-JP" w:eastAsia="ja-JP"/>
        </w:rPr>
      </w:pPr>
      <w:r w:rsidRPr="000913F7">
        <w:rPr>
          <w:rFonts w:ascii="ＭＳ Ｐ明朝" w:eastAsia="ＭＳ Ｐ明朝" w:hAnsi="ＭＳ Ｐ明朝" w:hint="eastAsia"/>
          <w:color w:val="000000"/>
          <w:sz w:val="21"/>
          <w:lang w:val="ja-JP" w:eastAsia="ja-JP"/>
        </w:rPr>
        <w:t>報告概要：</w:t>
      </w:r>
    </w:p>
    <w:p w14:paraId="55A716EA" w14:textId="2AEEF770" w:rsidR="00F802A3" w:rsidRPr="00F802A3" w:rsidRDefault="00F31CB8" w:rsidP="00F802A3">
      <w:pPr>
        <w:pStyle w:val="a3"/>
        <w:spacing w:before="45" w:line="320" w:lineRule="exact"/>
        <w:ind w:left="880"/>
        <w:textAlignment w:val="baseline"/>
        <w:rPr>
          <w:rFonts w:ascii="ＭＳ Ｐ明朝" w:eastAsia="ＭＳ Ｐ明朝" w:hAnsi="ＭＳ Ｐ明朝"/>
          <w:color w:val="000000"/>
          <w:sz w:val="21"/>
          <w:lang w:val="ja-JP" w:eastAsia="ja-JP"/>
        </w:rPr>
      </w:pPr>
      <w:r>
        <w:rPr>
          <w:rFonts w:ascii="ＭＳ Ｐ明朝" w:eastAsia="ＭＳ Ｐ明朝" w:hAnsi="ＭＳ Ｐ明朝" w:hint="eastAsia"/>
          <w:color w:val="000000"/>
          <w:sz w:val="21"/>
          <w:lang w:val="ja-JP" w:eastAsia="ja-JP"/>
        </w:rPr>
        <w:t xml:space="preserve">　</w:t>
      </w:r>
      <w:r w:rsidR="00F802A3" w:rsidRPr="00F802A3">
        <w:rPr>
          <w:rFonts w:ascii="ＭＳ Ｐ明朝" w:eastAsia="ＭＳ Ｐ明朝" w:hAnsi="ＭＳ Ｐ明朝" w:hint="eastAsia"/>
          <w:color w:val="000000"/>
          <w:sz w:val="21"/>
          <w:lang w:val="ja-JP" w:eastAsia="ja-JP"/>
        </w:rPr>
        <w:t>日本人女性社会的企業家がウガンダで起業・経営する社会的企業を事例として、女性従業員のエンパワーメントの形成の実態を明らかにするために現地調査が行われた。代表者及び現地女性従業員注への半構造化インタビューの分析結果から、経営者が従業員を対等な働き手として尊重する経営実践のもと、信頼関係の構築と相互学習を通じて自己効力感の向上につながっていることが示唆された。</w:t>
      </w:r>
    </w:p>
    <w:p w14:paraId="66161564" w14:textId="77777777" w:rsidR="007109BE" w:rsidRDefault="007109BE" w:rsidP="007109BE">
      <w:pPr>
        <w:pStyle w:val="a3"/>
        <w:spacing w:before="45" w:line="320" w:lineRule="exact"/>
        <w:ind w:left="880" w:firstLineChars="100" w:firstLine="210"/>
        <w:textAlignment w:val="baseline"/>
        <w:rPr>
          <w:rFonts w:ascii="ＭＳ Ｐ明朝" w:eastAsia="ＭＳ Ｐ明朝" w:hAnsi="ＭＳ Ｐ明朝"/>
          <w:color w:val="000000"/>
          <w:sz w:val="21"/>
          <w:lang w:val="ja-JP" w:eastAsia="ja-JP"/>
        </w:rPr>
      </w:pPr>
      <w:r w:rsidRPr="007109BE">
        <w:rPr>
          <w:rFonts w:ascii="ＭＳ Ｐ明朝" w:eastAsia="ＭＳ Ｐ明朝" w:hAnsi="ＭＳ Ｐ明朝" w:hint="eastAsia"/>
          <w:color w:val="000000"/>
          <w:sz w:val="21"/>
          <w:lang w:val="ja-JP" w:eastAsia="ja-JP"/>
        </w:rPr>
        <w:lastRenderedPageBreak/>
        <w:t>報告後の質疑応答では、参与観察の妥当性や結論に至るエビデンス不足、スタッフの離職率・勤続期間、採用における工夫、発展途上国の</w:t>
      </w:r>
      <w:r w:rsidRPr="007109BE">
        <w:rPr>
          <w:rFonts w:ascii="ＭＳ Ｐ明朝" w:eastAsia="ＭＳ Ｐ明朝" w:hAnsi="ＭＳ Ｐ明朝"/>
          <w:color w:val="000000"/>
          <w:sz w:val="21"/>
          <w:lang w:val="ja-JP" w:eastAsia="ja-JP"/>
        </w:rPr>
        <w:t>WISE</w:t>
      </w:r>
      <w:r w:rsidRPr="007109BE">
        <w:rPr>
          <w:rFonts w:ascii="ＭＳ Ｐ明朝" w:eastAsia="ＭＳ Ｐ明朝" w:hAnsi="ＭＳ Ｐ明朝" w:hint="eastAsia"/>
          <w:color w:val="000000"/>
          <w:sz w:val="21"/>
          <w:lang w:val="ja-JP" w:eastAsia="ja-JP"/>
        </w:rPr>
        <w:t>における自己効力感を高めるプロセスの特徴、日本人起業家かつ</w:t>
      </w:r>
      <w:r w:rsidRPr="007109BE">
        <w:rPr>
          <w:rFonts w:ascii="ＭＳ Ｐ明朝" w:eastAsia="ＭＳ Ｐ明朝" w:hAnsi="ＭＳ Ｐ明朝"/>
          <w:color w:val="000000"/>
          <w:sz w:val="21"/>
          <w:lang w:val="ja-JP" w:eastAsia="ja-JP"/>
        </w:rPr>
        <w:t>WISE</w:t>
      </w:r>
      <w:r w:rsidRPr="007109BE">
        <w:rPr>
          <w:rFonts w:ascii="ＭＳ Ｐ明朝" w:eastAsia="ＭＳ Ｐ明朝" w:hAnsi="ＭＳ Ｐ明朝" w:hint="eastAsia"/>
          <w:color w:val="000000"/>
          <w:sz w:val="21"/>
          <w:lang w:val="ja-JP" w:eastAsia="ja-JP"/>
        </w:rPr>
        <w:t>という事例の意味合いと一般化との関係、事例の位置付け、起業の経緯・プロセス、疑似家族に着目する視点などが議論された。</w:t>
      </w:r>
    </w:p>
    <w:p w14:paraId="5D6C80F9" w14:textId="77777777" w:rsidR="00412928" w:rsidRDefault="00412928" w:rsidP="007109BE">
      <w:pPr>
        <w:pStyle w:val="a3"/>
        <w:spacing w:before="45" w:line="320" w:lineRule="exact"/>
        <w:ind w:left="880" w:firstLineChars="100" w:firstLine="210"/>
        <w:textAlignment w:val="baseline"/>
        <w:rPr>
          <w:rFonts w:ascii="ＭＳ Ｐ明朝" w:eastAsia="ＭＳ Ｐ明朝" w:hAnsi="ＭＳ Ｐ明朝"/>
          <w:color w:val="000000"/>
          <w:sz w:val="21"/>
          <w:lang w:val="ja-JP" w:eastAsia="ja-JP"/>
        </w:rPr>
      </w:pPr>
    </w:p>
    <w:p w14:paraId="641B48C4" w14:textId="70E3D9C1" w:rsidR="00F802A3" w:rsidRDefault="00F802A3" w:rsidP="00F802A3">
      <w:pPr>
        <w:pStyle w:val="a3"/>
        <w:spacing w:before="45" w:line="320" w:lineRule="exact"/>
        <w:ind w:left="880"/>
        <w:textAlignment w:val="baseline"/>
        <w:rPr>
          <w:rFonts w:ascii="ＭＳ Ｐ明朝" w:eastAsia="ＭＳ Ｐ明朝" w:hAnsi="ＭＳ Ｐ明朝"/>
          <w:color w:val="000000"/>
          <w:sz w:val="21"/>
          <w:lang w:val="ja-JP" w:eastAsia="ja-JP"/>
        </w:rPr>
      </w:pPr>
      <w:r>
        <w:rPr>
          <w:rFonts w:ascii="ＭＳ Ｐ明朝" w:eastAsia="ＭＳ Ｐ明朝" w:hAnsi="ＭＳ Ｐ明朝" w:hint="eastAsia"/>
          <w:color w:val="000000"/>
          <w:sz w:val="21"/>
          <w:lang w:val="ja-JP" w:eastAsia="ja-JP"/>
        </w:rPr>
        <w:t>報告者</w:t>
      </w:r>
      <w:r w:rsidRPr="00F802A3">
        <w:rPr>
          <w:rFonts w:ascii="ＭＳ Ｐ明朝" w:eastAsia="ＭＳ Ｐ明朝" w:hAnsi="ＭＳ Ｐ明朝" w:hint="eastAsia"/>
          <w:color w:val="000000"/>
          <w:sz w:val="21"/>
          <w:lang w:val="ja-JP" w:eastAsia="ja-JP"/>
        </w:rPr>
        <w:t>注：発表資料では女性従業員</w:t>
      </w:r>
      <w:r w:rsidRPr="00F802A3">
        <w:rPr>
          <w:rFonts w:ascii="ＭＳ Ｐ明朝" w:eastAsia="ＭＳ Ｐ明朝" w:hAnsi="ＭＳ Ｐ明朝"/>
          <w:color w:val="000000"/>
          <w:sz w:val="21"/>
          <w:lang w:val="ja-JP" w:eastAsia="ja-JP"/>
        </w:rPr>
        <w:t>15</w:t>
      </w:r>
      <w:r w:rsidRPr="00F802A3">
        <w:rPr>
          <w:rFonts w:ascii="ＭＳ Ｐ明朝" w:eastAsia="ＭＳ Ｐ明朝" w:hAnsi="ＭＳ Ｐ明朝" w:hint="eastAsia"/>
          <w:color w:val="000000"/>
          <w:sz w:val="21"/>
          <w:lang w:val="ja-JP" w:eastAsia="ja-JP"/>
        </w:rPr>
        <w:t>名と記されているが、正しくは</w:t>
      </w:r>
      <w:r w:rsidRPr="00F802A3">
        <w:rPr>
          <w:rFonts w:ascii="ＭＳ Ｐ明朝" w:eastAsia="ＭＳ Ｐ明朝" w:hAnsi="ＭＳ Ｐ明朝"/>
          <w:color w:val="000000"/>
          <w:sz w:val="21"/>
          <w:lang w:val="ja-JP" w:eastAsia="ja-JP"/>
        </w:rPr>
        <w:t>14</w:t>
      </w:r>
      <w:r w:rsidRPr="00F802A3">
        <w:rPr>
          <w:rFonts w:ascii="ＭＳ Ｐ明朝" w:eastAsia="ＭＳ Ｐ明朝" w:hAnsi="ＭＳ Ｐ明朝" w:hint="eastAsia"/>
          <w:color w:val="000000"/>
          <w:sz w:val="21"/>
          <w:lang w:val="ja-JP" w:eastAsia="ja-JP"/>
        </w:rPr>
        <w:t>名の誤り。男性従業員が１名あり、全従業員</w:t>
      </w:r>
      <w:r w:rsidRPr="00F802A3">
        <w:rPr>
          <w:rFonts w:ascii="ＭＳ Ｐ明朝" w:eastAsia="ＭＳ Ｐ明朝" w:hAnsi="ＭＳ Ｐ明朝"/>
          <w:color w:val="000000"/>
          <w:sz w:val="21"/>
          <w:lang w:val="ja-JP" w:eastAsia="ja-JP"/>
        </w:rPr>
        <w:t>15</w:t>
      </w:r>
      <w:r w:rsidRPr="00F802A3">
        <w:rPr>
          <w:rFonts w:ascii="ＭＳ Ｐ明朝" w:eastAsia="ＭＳ Ｐ明朝" w:hAnsi="ＭＳ Ｐ明朝" w:hint="eastAsia"/>
          <w:color w:val="000000"/>
          <w:sz w:val="21"/>
          <w:lang w:val="ja-JP" w:eastAsia="ja-JP"/>
        </w:rPr>
        <w:t>名となる。</w:t>
      </w:r>
    </w:p>
    <w:p w14:paraId="4BB489F4" w14:textId="77777777" w:rsidR="00412928" w:rsidRDefault="00412928" w:rsidP="00F802A3">
      <w:pPr>
        <w:pStyle w:val="a3"/>
        <w:spacing w:before="45" w:line="320" w:lineRule="exact"/>
        <w:ind w:left="880"/>
        <w:textAlignment w:val="baseline"/>
        <w:rPr>
          <w:rFonts w:ascii="ＭＳ Ｐ明朝" w:eastAsia="ＭＳ Ｐ明朝" w:hAnsi="ＭＳ Ｐ明朝"/>
          <w:color w:val="000000"/>
          <w:sz w:val="21"/>
          <w:lang w:val="ja-JP" w:eastAsia="ja-JP"/>
        </w:rPr>
      </w:pPr>
    </w:p>
    <w:p w14:paraId="6DEC7E73" w14:textId="77D0ADF6" w:rsidR="007232D9" w:rsidRDefault="007232D9" w:rsidP="00412928">
      <w:pPr>
        <w:pStyle w:val="Web"/>
        <w:ind w:left="880"/>
        <w:jc w:val="center"/>
      </w:pPr>
      <w:r w:rsidRPr="007232D9">
        <w:rPr>
          <w:noProof/>
        </w:rPr>
        <w:drawing>
          <wp:inline distT="0" distB="0" distL="0" distR="0" wp14:anchorId="6EFCA901" wp14:editId="51A99678">
            <wp:extent cx="3411166" cy="4548221"/>
            <wp:effectExtent l="0" t="0" r="0" b="5080"/>
            <wp:docPr id="174227504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30050" cy="4573400"/>
                    </a:xfrm>
                    <a:prstGeom prst="rect">
                      <a:avLst/>
                    </a:prstGeom>
                    <a:noFill/>
                    <a:ln>
                      <a:noFill/>
                    </a:ln>
                  </pic:spPr>
                </pic:pic>
              </a:graphicData>
            </a:graphic>
          </wp:inline>
        </w:drawing>
      </w:r>
    </w:p>
    <w:p w14:paraId="67B479DE" w14:textId="77777777" w:rsidR="007E2AE2" w:rsidRDefault="007E2AE2" w:rsidP="00412928">
      <w:pPr>
        <w:pStyle w:val="Web"/>
        <w:ind w:left="880"/>
        <w:jc w:val="center"/>
      </w:pPr>
    </w:p>
    <w:p w14:paraId="517768AE" w14:textId="77777777" w:rsidR="00D61F8D" w:rsidRPr="007232D9" w:rsidRDefault="00D61F8D" w:rsidP="00412928">
      <w:pPr>
        <w:pStyle w:val="Web"/>
        <w:ind w:left="880"/>
        <w:jc w:val="center"/>
        <w:rPr>
          <w:rFonts w:hint="eastAsia"/>
        </w:rPr>
      </w:pPr>
    </w:p>
    <w:p w14:paraId="1001E298" w14:textId="391F35A4" w:rsidR="000913F7" w:rsidRPr="000913F7" w:rsidRDefault="000913F7" w:rsidP="000913F7">
      <w:pPr>
        <w:pStyle w:val="a3"/>
        <w:numPr>
          <w:ilvl w:val="0"/>
          <w:numId w:val="1"/>
        </w:numPr>
        <w:spacing w:before="45" w:line="320" w:lineRule="exact"/>
        <w:ind w:leftChars="0"/>
        <w:textAlignment w:val="baseline"/>
        <w:rPr>
          <w:rFonts w:ascii="ＭＳ Ｐ明朝" w:eastAsia="ＭＳ Ｐ明朝" w:hAnsi="ＭＳ Ｐ明朝"/>
          <w:color w:val="000000"/>
          <w:spacing w:val="19"/>
          <w:sz w:val="21"/>
          <w:lang w:val="ja-JP" w:eastAsia="ja-JP"/>
        </w:rPr>
      </w:pPr>
      <w:r w:rsidRPr="000913F7">
        <w:rPr>
          <w:rFonts w:ascii="ＭＳ Ｐ明朝" w:eastAsia="ＭＳ Ｐ明朝" w:hAnsi="ＭＳ Ｐ明朝" w:hint="eastAsia"/>
          <w:color w:val="000000"/>
          <w:sz w:val="21"/>
          <w:lang w:val="ja-JP" w:eastAsia="ja-JP"/>
        </w:rPr>
        <w:t>【研究報告</w:t>
      </w:r>
      <w:r>
        <w:rPr>
          <w:rFonts w:ascii="ＭＳ Ｐ明朝" w:eastAsia="ＭＳ Ｐ明朝" w:hAnsi="ＭＳ Ｐ明朝" w:hint="eastAsia"/>
          <w:color w:val="000000"/>
          <w:sz w:val="21"/>
          <w:lang w:val="ja-JP" w:eastAsia="ja-JP"/>
        </w:rPr>
        <w:t>3</w:t>
      </w:r>
      <w:r w:rsidRPr="000913F7">
        <w:rPr>
          <w:rFonts w:ascii="ＭＳ Ｐ明朝" w:eastAsia="ＭＳ Ｐ明朝" w:hAnsi="ＭＳ Ｐ明朝" w:hint="eastAsia"/>
          <w:color w:val="000000"/>
          <w:sz w:val="21"/>
          <w:lang w:val="ja-JP" w:eastAsia="ja-JP"/>
        </w:rPr>
        <w:t>】</w:t>
      </w:r>
    </w:p>
    <w:p w14:paraId="7DD3AAB9" w14:textId="77777777" w:rsidR="00715BC5" w:rsidRPr="00715BC5" w:rsidRDefault="00715BC5" w:rsidP="00715BC5">
      <w:pPr>
        <w:spacing w:before="45" w:line="320" w:lineRule="exact"/>
        <w:ind w:firstLineChars="250" w:firstLine="572"/>
        <w:textAlignment w:val="baseline"/>
        <w:rPr>
          <w:rFonts w:ascii="ＭＳ Ｐ明朝" w:eastAsia="ＭＳ Ｐ明朝" w:hAnsi="ＭＳ Ｐ明朝"/>
          <w:color w:val="000000"/>
          <w:spacing w:val="19"/>
          <w:sz w:val="21"/>
          <w:lang w:val="ja-JP" w:eastAsia="zh-CN"/>
        </w:rPr>
      </w:pPr>
      <w:r w:rsidRPr="00715BC5">
        <w:rPr>
          <w:rFonts w:ascii="ＭＳ Ｐ明朝" w:eastAsia="ＭＳ Ｐ明朝" w:hAnsi="ＭＳ Ｐ明朝" w:hint="eastAsia"/>
          <w:color w:val="000000"/>
          <w:spacing w:val="19"/>
          <w:sz w:val="21"/>
          <w:lang w:val="ja-JP" w:eastAsia="zh-CN"/>
        </w:rPr>
        <w:t>報告者：藤井啓子（東洋大学大学院）</w:t>
      </w:r>
    </w:p>
    <w:p w14:paraId="130DA03E" w14:textId="77777777" w:rsidR="00715BC5" w:rsidRDefault="00715BC5" w:rsidP="00715BC5">
      <w:pPr>
        <w:spacing w:before="45" w:line="320" w:lineRule="exact"/>
        <w:ind w:leftChars="250" w:left="1351" w:hangingChars="350" w:hanging="801"/>
        <w:textAlignment w:val="baseline"/>
        <w:rPr>
          <w:rFonts w:ascii="ＭＳ Ｐ明朝" w:eastAsia="ＭＳ Ｐ明朝" w:hAnsi="ＭＳ Ｐ明朝"/>
          <w:color w:val="000000"/>
          <w:spacing w:val="19"/>
          <w:sz w:val="21"/>
          <w:lang w:val="ja-JP" w:eastAsia="ja-JP"/>
        </w:rPr>
      </w:pPr>
      <w:r w:rsidRPr="00715BC5">
        <w:rPr>
          <w:rFonts w:ascii="ＭＳ Ｐ明朝" w:eastAsia="ＭＳ Ｐ明朝" w:hAnsi="ＭＳ Ｐ明朝" w:hint="eastAsia"/>
          <w:color w:val="000000"/>
          <w:spacing w:val="19"/>
          <w:sz w:val="21"/>
          <w:lang w:val="ja-JP" w:eastAsia="ja-JP"/>
        </w:rPr>
        <w:t>テーマ：「中小介護事業における女性起業家の事業機会認識プロセス　－公共性と収益性の統合に焦点を当てて－」</w:t>
      </w:r>
    </w:p>
    <w:p w14:paraId="3231A95B" w14:textId="0CC9140A" w:rsidR="003A3817" w:rsidRPr="00E95AEC" w:rsidRDefault="003A3817" w:rsidP="00715BC5">
      <w:pPr>
        <w:spacing w:before="45" w:line="320" w:lineRule="exact"/>
        <w:ind w:leftChars="250" w:left="1285" w:hangingChars="350" w:hanging="735"/>
        <w:textAlignment w:val="baseline"/>
        <w:rPr>
          <w:rFonts w:ascii="ＭＳ Ｐ明朝" w:eastAsia="ＭＳ Ｐ明朝" w:hAnsi="ＭＳ Ｐ明朝"/>
          <w:color w:val="000000"/>
          <w:sz w:val="21"/>
          <w:lang w:val="ja-JP" w:eastAsia="ja-JP"/>
        </w:rPr>
      </w:pPr>
      <w:r w:rsidRPr="00E95AEC">
        <w:rPr>
          <w:rFonts w:ascii="ＭＳ Ｐ明朝" w:eastAsia="ＭＳ Ｐ明朝" w:hAnsi="ＭＳ Ｐ明朝" w:hint="eastAsia"/>
          <w:color w:val="000000"/>
          <w:sz w:val="21"/>
          <w:lang w:val="ja-JP" w:eastAsia="ja-JP"/>
        </w:rPr>
        <w:lastRenderedPageBreak/>
        <w:t>報告概要：</w:t>
      </w:r>
    </w:p>
    <w:p w14:paraId="64B40AF3" w14:textId="77777777" w:rsidR="00CD3B83" w:rsidRPr="00CD3B83" w:rsidRDefault="003A3817" w:rsidP="00CD3B83">
      <w:pPr>
        <w:pStyle w:val="a3"/>
        <w:spacing w:before="45" w:line="320" w:lineRule="exact"/>
        <w:ind w:left="880"/>
        <w:textAlignment w:val="baseline"/>
        <w:rPr>
          <w:rFonts w:ascii="ＭＳ Ｐ明朝" w:eastAsia="ＭＳ Ｐ明朝" w:hAnsi="ＭＳ Ｐ明朝"/>
          <w:color w:val="000000"/>
          <w:sz w:val="21"/>
          <w:lang w:val="ja-JP" w:eastAsia="ja-JP"/>
        </w:rPr>
      </w:pPr>
      <w:r>
        <w:rPr>
          <w:rFonts w:ascii="ＭＳ Ｐ明朝" w:eastAsia="ＭＳ Ｐ明朝" w:hAnsi="ＭＳ Ｐ明朝" w:hint="eastAsia"/>
          <w:color w:val="000000"/>
          <w:sz w:val="21"/>
          <w:lang w:val="ja-JP" w:eastAsia="ja-JP"/>
        </w:rPr>
        <w:t xml:space="preserve">　</w:t>
      </w:r>
      <w:r w:rsidR="00CD3B83" w:rsidRPr="00CD3B83">
        <w:rPr>
          <w:rFonts w:ascii="ＭＳ Ｐ明朝" w:eastAsia="ＭＳ Ｐ明朝" w:hAnsi="ＭＳ Ｐ明朝" w:hint="eastAsia"/>
          <w:color w:val="000000"/>
          <w:sz w:val="21"/>
          <w:lang w:val="ja-JP" w:eastAsia="ja-JP"/>
        </w:rPr>
        <w:t>介護事業を起業した女性を対象に、介護という生活経験がどのように意味づけられ、事業機会の認知と起業へ結びついたのかということが報告された。介護事業は、介護保険制度の下で公共の福祉を担いながら収益確保が不可欠という「公共性」と「収益性」の二面性を抱えるが、経営学的視点から創業者に焦点を当てた研究は乏しく、歴史的に介護労働の担い手とされてきた女性の経験の「意味づけ」に着目した。</w:t>
      </w:r>
    </w:p>
    <w:p w14:paraId="6A14FBB2" w14:textId="77777777" w:rsidR="00CD3B83" w:rsidRPr="00CD3B83" w:rsidRDefault="00CD3B83" w:rsidP="00CD3B83">
      <w:pPr>
        <w:pStyle w:val="a3"/>
        <w:spacing w:before="45" w:line="320" w:lineRule="exact"/>
        <w:ind w:left="880"/>
        <w:textAlignment w:val="baseline"/>
        <w:rPr>
          <w:rFonts w:ascii="ＭＳ Ｐ明朝" w:eastAsia="ＭＳ Ｐ明朝" w:hAnsi="ＭＳ Ｐ明朝"/>
          <w:color w:val="000000"/>
          <w:sz w:val="21"/>
          <w:lang w:val="ja-JP" w:eastAsia="ja-JP"/>
        </w:rPr>
      </w:pPr>
      <w:r w:rsidRPr="00CD3B83">
        <w:rPr>
          <w:rFonts w:ascii="ＭＳ Ｐ明朝" w:eastAsia="ＭＳ Ｐ明朝" w:hAnsi="ＭＳ Ｐ明朝" w:hint="eastAsia"/>
          <w:color w:val="000000"/>
          <w:sz w:val="21"/>
          <w:lang w:val="ja-JP" w:eastAsia="ja-JP"/>
        </w:rPr>
        <w:t xml:space="preserve">　業種・年代の異なる女性起業家</w:t>
      </w:r>
      <w:r w:rsidRPr="00CD3B83">
        <w:rPr>
          <w:rFonts w:ascii="ＭＳ Ｐ明朝" w:eastAsia="ＭＳ Ｐ明朝" w:hAnsi="ＭＳ Ｐ明朝"/>
          <w:color w:val="000000"/>
          <w:sz w:val="21"/>
          <w:lang w:val="ja-JP" w:eastAsia="ja-JP"/>
        </w:rPr>
        <w:t>3</w:t>
      </w:r>
      <w:r w:rsidRPr="00CD3B83">
        <w:rPr>
          <w:rFonts w:ascii="ＭＳ Ｐ明朝" w:eastAsia="ＭＳ Ｐ明朝" w:hAnsi="ＭＳ Ｐ明朝" w:hint="eastAsia"/>
          <w:color w:val="000000"/>
          <w:sz w:val="21"/>
          <w:lang w:val="ja-JP" w:eastAsia="ja-JP"/>
        </w:rPr>
        <w:t>名（保険外自費サービス、訪問介護、がん専門訪問看護）への半構造化インタビューをもとに、解釈的現象学的分析（</w:t>
      </w:r>
      <w:r w:rsidRPr="00CD3B83">
        <w:rPr>
          <w:rFonts w:ascii="ＭＳ Ｐ明朝" w:eastAsia="ＭＳ Ｐ明朝" w:hAnsi="ＭＳ Ｐ明朝"/>
          <w:color w:val="000000"/>
          <w:sz w:val="21"/>
          <w:lang w:val="ja-JP" w:eastAsia="ja-JP"/>
        </w:rPr>
        <w:t>IPA</w:t>
      </w:r>
      <w:r w:rsidRPr="00CD3B83">
        <w:rPr>
          <w:rFonts w:ascii="ＭＳ Ｐ明朝" w:eastAsia="ＭＳ Ｐ明朝" w:hAnsi="ＭＳ Ｐ明朝" w:hint="eastAsia"/>
          <w:color w:val="000000"/>
          <w:sz w:val="21"/>
          <w:lang w:val="ja-JP" w:eastAsia="ja-JP"/>
        </w:rPr>
        <w:t>）による質的研究を行なった。</w:t>
      </w:r>
    </w:p>
    <w:p w14:paraId="52238BF4" w14:textId="6FC40DA8" w:rsidR="003A3817" w:rsidRDefault="00CD3B83" w:rsidP="003A3817">
      <w:pPr>
        <w:pStyle w:val="a3"/>
        <w:spacing w:before="45" w:line="320" w:lineRule="exact"/>
        <w:ind w:left="880"/>
        <w:textAlignment w:val="baseline"/>
        <w:rPr>
          <w:rFonts w:ascii="ＭＳ Ｐ明朝" w:eastAsia="ＭＳ Ｐ明朝" w:hAnsi="ＭＳ Ｐ明朝"/>
          <w:color w:val="000000"/>
          <w:sz w:val="21"/>
          <w:lang w:val="ja-JP" w:eastAsia="ja-JP"/>
        </w:rPr>
      </w:pPr>
      <w:r w:rsidRPr="00CD3B83">
        <w:rPr>
          <w:rFonts w:ascii="ＭＳ Ｐ明朝" w:eastAsia="ＭＳ Ｐ明朝" w:hAnsi="ＭＳ Ｐ明朝" w:hint="eastAsia"/>
          <w:color w:val="000000"/>
          <w:sz w:val="21"/>
          <w:lang w:val="ja-JP" w:eastAsia="ja-JP"/>
        </w:rPr>
        <w:t xml:space="preserve">　分析の結果、（</w:t>
      </w:r>
      <w:r w:rsidRPr="00CD3B83">
        <w:rPr>
          <w:rFonts w:ascii="ＭＳ Ｐ明朝" w:eastAsia="ＭＳ Ｐ明朝" w:hAnsi="ＭＳ Ｐ明朝"/>
          <w:color w:val="000000"/>
          <w:sz w:val="21"/>
          <w:lang w:val="ja-JP" w:eastAsia="ja-JP"/>
        </w:rPr>
        <w:t>1</w:t>
      </w:r>
      <w:r w:rsidRPr="00CD3B83">
        <w:rPr>
          <w:rFonts w:ascii="ＭＳ Ｐ明朝" w:eastAsia="ＭＳ Ｐ明朝" w:hAnsi="ＭＳ Ｐ明朝" w:hint="eastAsia"/>
          <w:color w:val="000000"/>
          <w:sz w:val="21"/>
          <w:lang w:val="ja-JP" w:eastAsia="ja-JP"/>
        </w:rPr>
        <w:t>）職業的介護経験を通じた既存制度への違和感、（</w:t>
      </w:r>
      <w:r w:rsidRPr="00CD3B83">
        <w:rPr>
          <w:rFonts w:ascii="ＭＳ Ｐ明朝" w:eastAsia="ＭＳ Ｐ明朝" w:hAnsi="ＭＳ Ｐ明朝"/>
          <w:color w:val="000000"/>
          <w:sz w:val="21"/>
          <w:lang w:val="ja-JP" w:eastAsia="ja-JP"/>
        </w:rPr>
        <w:t>2</w:t>
      </w:r>
      <w:r w:rsidRPr="00CD3B83">
        <w:rPr>
          <w:rFonts w:ascii="ＭＳ Ｐ明朝" w:eastAsia="ＭＳ Ｐ明朝" w:hAnsi="ＭＳ Ｐ明朝" w:hint="eastAsia"/>
          <w:color w:val="000000"/>
          <w:sz w:val="21"/>
          <w:lang w:val="ja-JP" w:eastAsia="ja-JP"/>
        </w:rPr>
        <w:t>）家庭内ケアの引き受けによる当事者性の獲得、（</w:t>
      </w:r>
      <w:r w:rsidRPr="00CD3B83">
        <w:rPr>
          <w:rFonts w:ascii="ＭＳ Ｐ明朝" w:eastAsia="ＭＳ Ｐ明朝" w:hAnsi="ＭＳ Ｐ明朝"/>
          <w:color w:val="000000"/>
          <w:sz w:val="21"/>
          <w:lang w:val="ja-JP" w:eastAsia="ja-JP"/>
        </w:rPr>
        <w:t>3</w:t>
      </w:r>
      <w:r w:rsidRPr="00CD3B83">
        <w:rPr>
          <w:rFonts w:ascii="ＭＳ Ｐ明朝" w:eastAsia="ＭＳ Ｐ明朝" w:hAnsi="ＭＳ Ｐ明朝" w:hint="eastAsia"/>
          <w:color w:val="000000"/>
          <w:sz w:val="21"/>
          <w:lang w:val="ja-JP" w:eastAsia="ja-JP"/>
        </w:rPr>
        <w:t>）喪失体験による起業決断、（</w:t>
      </w:r>
      <w:r w:rsidRPr="00CD3B83">
        <w:rPr>
          <w:rFonts w:ascii="ＭＳ Ｐ明朝" w:eastAsia="ＭＳ Ｐ明朝" w:hAnsi="ＭＳ Ｐ明朝"/>
          <w:color w:val="000000"/>
          <w:sz w:val="21"/>
          <w:lang w:val="ja-JP" w:eastAsia="ja-JP"/>
        </w:rPr>
        <w:t>4</w:t>
      </w:r>
      <w:r w:rsidRPr="00CD3B83">
        <w:rPr>
          <w:rFonts w:ascii="ＭＳ Ｐ明朝" w:eastAsia="ＭＳ Ｐ明朝" w:hAnsi="ＭＳ Ｐ明朝" w:hint="eastAsia"/>
          <w:color w:val="000000"/>
          <w:sz w:val="21"/>
          <w:lang w:val="ja-JP" w:eastAsia="ja-JP"/>
        </w:rPr>
        <w:t>）独自の事業哲学の確立、という</w:t>
      </w:r>
      <w:r w:rsidRPr="00CD3B83">
        <w:rPr>
          <w:rFonts w:ascii="ＭＳ Ｐ明朝" w:eastAsia="ＭＳ Ｐ明朝" w:hAnsi="ＭＳ Ｐ明朝"/>
          <w:color w:val="000000"/>
          <w:sz w:val="21"/>
          <w:lang w:val="ja-JP" w:eastAsia="ja-JP"/>
        </w:rPr>
        <w:t>4</w:t>
      </w:r>
      <w:r w:rsidRPr="00CD3B83">
        <w:rPr>
          <w:rFonts w:ascii="ＭＳ Ｐ明朝" w:eastAsia="ＭＳ Ｐ明朝" w:hAnsi="ＭＳ Ｐ明朝" w:hint="eastAsia"/>
          <w:color w:val="000000"/>
          <w:sz w:val="21"/>
          <w:lang w:val="ja-JP" w:eastAsia="ja-JP"/>
        </w:rPr>
        <w:t>つの上位テーマが抽出された。事業機会の認知は職業経験と生活経験の緩やかな蓄積によって進むプロセスであり、喪失体験が決断のタイミングを規定していること、収益は理念実現の手段として位置づけられており、公共性と収益性の二律背反を統合している可能性が示唆された。</w:t>
      </w:r>
    </w:p>
    <w:p w14:paraId="5DC5CC3B" w14:textId="61BB5318" w:rsidR="007109BE" w:rsidRPr="00E81DB9" w:rsidRDefault="00FA0584" w:rsidP="007109BE">
      <w:pPr>
        <w:pStyle w:val="a3"/>
        <w:spacing w:before="45" w:line="320" w:lineRule="exact"/>
        <w:ind w:left="880" w:firstLineChars="100" w:firstLine="240"/>
        <w:textAlignment w:val="baseline"/>
        <w:rPr>
          <w:rFonts w:ascii="ＭＳ Ｐ明朝" w:eastAsia="ＭＳ Ｐ明朝" w:hAnsi="ＭＳ Ｐ明朝"/>
          <w:color w:val="000000"/>
          <w:sz w:val="21"/>
          <w:lang w:val="ja-JP" w:eastAsia="ja-JP"/>
        </w:rPr>
      </w:pPr>
      <w:r w:rsidRPr="007232D9">
        <w:rPr>
          <w:rFonts w:ascii="ＭＳ Ｐゴシック" w:eastAsia="ＭＳ Ｐゴシック" w:hAnsi="ＭＳ Ｐゴシック" w:cs="ＭＳ Ｐゴシック"/>
          <w:noProof/>
          <w:sz w:val="24"/>
          <w:szCs w:val="24"/>
          <w:lang w:eastAsia="ja-JP"/>
        </w:rPr>
        <w:drawing>
          <wp:anchor distT="0" distB="0" distL="114300" distR="114300" simplePos="0" relativeHeight="251659264" behindDoc="0" locked="0" layoutInCell="1" allowOverlap="1" wp14:anchorId="256A0896" wp14:editId="2C87661C">
            <wp:simplePos x="0" y="0"/>
            <wp:positionH relativeFrom="column">
              <wp:posOffset>1539240</wp:posOffset>
            </wp:positionH>
            <wp:positionV relativeFrom="paragraph">
              <wp:posOffset>768985</wp:posOffset>
            </wp:positionV>
            <wp:extent cx="3021965" cy="4027805"/>
            <wp:effectExtent l="0" t="0" r="6985" b="0"/>
            <wp:wrapTopAndBottom/>
            <wp:docPr id="88443947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21965" cy="40278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109BE" w:rsidRPr="007109BE">
        <w:rPr>
          <w:rFonts w:ascii="ＭＳ Ｐ明朝" w:eastAsia="ＭＳ Ｐ明朝" w:hAnsi="ＭＳ Ｐ明朝" w:hint="eastAsia"/>
          <w:color w:val="000000"/>
          <w:sz w:val="21"/>
          <w:lang w:val="ja-JP" w:eastAsia="ja-JP"/>
        </w:rPr>
        <w:t>報告後の質疑応答では、地域の違いによる影響や、プロセスの抽出方法、事例の一般化の妥当性や他産業への適用可能性、評価・判断プロセスに公共性と収益性の二律背反が与えた影響などが議論された。</w:t>
      </w:r>
    </w:p>
    <w:p w14:paraId="18D6ACDD" w14:textId="375B4F5B" w:rsidR="009E40BB" w:rsidRPr="00DD6F52" w:rsidRDefault="00176A21" w:rsidP="00231FC6">
      <w:pPr>
        <w:pStyle w:val="a3"/>
        <w:spacing w:before="45" w:line="320" w:lineRule="exact"/>
        <w:ind w:leftChars="365" w:left="803"/>
        <w:jc w:val="right"/>
        <w:textAlignment w:val="baseline"/>
        <w:rPr>
          <w:rFonts w:ascii="ＭＳ Ｐ明朝" w:eastAsia="ＭＳ Ｐ明朝" w:hAnsi="ＭＳ Ｐ明朝"/>
          <w:color w:val="000000"/>
          <w:spacing w:val="22"/>
          <w:sz w:val="21"/>
          <w:lang w:val="ja-JP" w:eastAsia="ja-JP"/>
        </w:rPr>
      </w:pPr>
      <w:r>
        <w:rPr>
          <w:rFonts w:ascii="ＭＳ Ｐ明朝" w:eastAsia="ＭＳ Ｐ明朝" w:hAnsi="ＭＳ Ｐ明朝" w:hint="eastAsia"/>
          <w:color w:val="000000"/>
          <w:spacing w:val="13"/>
          <w:sz w:val="21"/>
          <w:lang w:val="ja-JP" w:eastAsia="ja-JP"/>
        </w:rPr>
        <w:t>以上</w:t>
      </w:r>
    </w:p>
    <w:sectPr w:rsidR="009E40BB" w:rsidRPr="00DD6F52" w:rsidSect="007E2AE2">
      <w:pgSz w:w="11909" w:h="16838" w:code="9"/>
      <w:pgMar w:top="1985" w:right="1701" w:bottom="170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FBA98" w14:textId="77777777" w:rsidR="00CF223C" w:rsidRDefault="00CF223C">
      <w:r>
        <w:separator/>
      </w:r>
    </w:p>
  </w:endnote>
  <w:endnote w:type="continuationSeparator" w:id="0">
    <w:p w14:paraId="2ED80A28" w14:textId="77777777" w:rsidR="00CF223C" w:rsidRDefault="00CF22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Yu Mincho">
    <w:charset w:val="00"/>
    <w:pitch w:val="variable"/>
    <w:family w:val="roman"/>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57E7B" w14:textId="77777777" w:rsidR="00CF223C" w:rsidRDefault="00CF223C"/>
  </w:footnote>
  <w:footnote w:type="continuationSeparator" w:id="0">
    <w:p w14:paraId="3F5D7584" w14:textId="77777777" w:rsidR="00CF223C" w:rsidRDefault="00CF22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95B9B"/>
    <w:multiLevelType w:val="hybridMultilevel"/>
    <w:tmpl w:val="BBB46DD0"/>
    <w:lvl w:ilvl="0" w:tplc="04090003">
      <w:start w:val="1"/>
      <w:numFmt w:val="bullet"/>
      <w:lvlText w:val=""/>
      <w:lvlJc w:val="left"/>
      <w:pPr>
        <w:ind w:left="584" w:hanging="440"/>
      </w:pPr>
      <w:rPr>
        <w:rFonts w:ascii="Wingdings" w:hAnsi="Wingdings" w:hint="default"/>
      </w:rPr>
    </w:lvl>
    <w:lvl w:ilvl="1" w:tplc="0409000B" w:tentative="1">
      <w:start w:val="1"/>
      <w:numFmt w:val="bullet"/>
      <w:lvlText w:val=""/>
      <w:lvlJc w:val="left"/>
      <w:pPr>
        <w:ind w:left="1024" w:hanging="440"/>
      </w:pPr>
      <w:rPr>
        <w:rFonts w:ascii="Wingdings" w:hAnsi="Wingdings" w:hint="default"/>
      </w:rPr>
    </w:lvl>
    <w:lvl w:ilvl="2" w:tplc="0409000D" w:tentative="1">
      <w:start w:val="1"/>
      <w:numFmt w:val="bullet"/>
      <w:lvlText w:val=""/>
      <w:lvlJc w:val="left"/>
      <w:pPr>
        <w:ind w:left="1464" w:hanging="440"/>
      </w:pPr>
      <w:rPr>
        <w:rFonts w:ascii="Wingdings" w:hAnsi="Wingdings" w:hint="default"/>
      </w:rPr>
    </w:lvl>
    <w:lvl w:ilvl="3" w:tplc="04090001" w:tentative="1">
      <w:start w:val="1"/>
      <w:numFmt w:val="bullet"/>
      <w:lvlText w:val=""/>
      <w:lvlJc w:val="left"/>
      <w:pPr>
        <w:ind w:left="1904" w:hanging="440"/>
      </w:pPr>
      <w:rPr>
        <w:rFonts w:ascii="Wingdings" w:hAnsi="Wingdings" w:hint="default"/>
      </w:rPr>
    </w:lvl>
    <w:lvl w:ilvl="4" w:tplc="0409000B" w:tentative="1">
      <w:start w:val="1"/>
      <w:numFmt w:val="bullet"/>
      <w:lvlText w:val=""/>
      <w:lvlJc w:val="left"/>
      <w:pPr>
        <w:ind w:left="2344" w:hanging="440"/>
      </w:pPr>
      <w:rPr>
        <w:rFonts w:ascii="Wingdings" w:hAnsi="Wingdings" w:hint="default"/>
      </w:rPr>
    </w:lvl>
    <w:lvl w:ilvl="5" w:tplc="0409000D" w:tentative="1">
      <w:start w:val="1"/>
      <w:numFmt w:val="bullet"/>
      <w:lvlText w:val=""/>
      <w:lvlJc w:val="left"/>
      <w:pPr>
        <w:ind w:left="2784" w:hanging="440"/>
      </w:pPr>
      <w:rPr>
        <w:rFonts w:ascii="Wingdings" w:hAnsi="Wingdings" w:hint="default"/>
      </w:rPr>
    </w:lvl>
    <w:lvl w:ilvl="6" w:tplc="04090001" w:tentative="1">
      <w:start w:val="1"/>
      <w:numFmt w:val="bullet"/>
      <w:lvlText w:val=""/>
      <w:lvlJc w:val="left"/>
      <w:pPr>
        <w:ind w:left="3224" w:hanging="440"/>
      </w:pPr>
      <w:rPr>
        <w:rFonts w:ascii="Wingdings" w:hAnsi="Wingdings" w:hint="default"/>
      </w:rPr>
    </w:lvl>
    <w:lvl w:ilvl="7" w:tplc="0409000B" w:tentative="1">
      <w:start w:val="1"/>
      <w:numFmt w:val="bullet"/>
      <w:lvlText w:val=""/>
      <w:lvlJc w:val="left"/>
      <w:pPr>
        <w:ind w:left="3664" w:hanging="440"/>
      </w:pPr>
      <w:rPr>
        <w:rFonts w:ascii="Wingdings" w:hAnsi="Wingdings" w:hint="default"/>
      </w:rPr>
    </w:lvl>
    <w:lvl w:ilvl="8" w:tplc="0409000D" w:tentative="1">
      <w:start w:val="1"/>
      <w:numFmt w:val="bullet"/>
      <w:lvlText w:val=""/>
      <w:lvlJc w:val="left"/>
      <w:pPr>
        <w:ind w:left="4104" w:hanging="440"/>
      </w:pPr>
      <w:rPr>
        <w:rFonts w:ascii="Wingdings" w:hAnsi="Wingdings" w:hint="default"/>
      </w:rPr>
    </w:lvl>
  </w:abstractNum>
  <w:abstractNum w:abstractNumId="1" w15:restartNumberingAfterBreak="0">
    <w:nsid w:val="16E63B6A"/>
    <w:multiLevelType w:val="hybridMultilevel"/>
    <w:tmpl w:val="1C347E46"/>
    <w:lvl w:ilvl="0" w:tplc="521EE2A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75673F6D"/>
    <w:multiLevelType w:val="hybridMultilevel"/>
    <w:tmpl w:val="D638B900"/>
    <w:lvl w:ilvl="0" w:tplc="062C13AA">
      <w:start w:val="1"/>
      <w:numFmt w:val="decimal"/>
      <w:lvlText w:val="%1)"/>
      <w:lvlJc w:val="left"/>
      <w:pPr>
        <w:ind w:left="354" w:hanging="210"/>
      </w:pPr>
      <w:rPr>
        <w:rFonts w:hint="default"/>
      </w:rPr>
    </w:lvl>
    <w:lvl w:ilvl="1" w:tplc="04090017" w:tentative="1">
      <w:start w:val="1"/>
      <w:numFmt w:val="aiueoFullWidth"/>
      <w:lvlText w:val="(%2)"/>
      <w:lvlJc w:val="left"/>
      <w:pPr>
        <w:ind w:left="1024" w:hanging="440"/>
      </w:pPr>
    </w:lvl>
    <w:lvl w:ilvl="2" w:tplc="04090011" w:tentative="1">
      <w:start w:val="1"/>
      <w:numFmt w:val="decimalEnclosedCircle"/>
      <w:lvlText w:val="%3"/>
      <w:lvlJc w:val="left"/>
      <w:pPr>
        <w:ind w:left="1464" w:hanging="440"/>
      </w:pPr>
    </w:lvl>
    <w:lvl w:ilvl="3" w:tplc="0409000F" w:tentative="1">
      <w:start w:val="1"/>
      <w:numFmt w:val="decimal"/>
      <w:lvlText w:val="%4."/>
      <w:lvlJc w:val="left"/>
      <w:pPr>
        <w:ind w:left="1904" w:hanging="440"/>
      </w:pPr>
    </w:lvl>
    <w:lvl w:ilvl="4" w:tplc="04090017" w:tentative="1">
      <w:start w:val="1"/>
      <w:numFmt w:val="aiueoFullWidth"/>
      <w:lvlText w:val="(%5)"/>
      <w:lvlJc w:val="left"/>
      <w:pPr>
        <w:ind w:left="2344" w:hanging="440"/>
      </w:pPr>
    </w:lvl>
    <w:lvl w:ilvl="5" w:tplc="04090011" w:tentative="1">
      <w:start w:val="1"/>
      <w:numFmt w:val="decimalEnclosedCircle"/>
      <w:lvlText w:val="%6"/>
      <w:lvlJc w:val="left"/>
      <w:pPr>
        <w:ind w:left="2784" w:hanging="440"/>
      </w:pPr>
    </w:lvl>
    <w:lvl w:ilvl="6" w:tplc="0409000F" w:tentative="1">
      <w:start w:val="1"/>
      <w:numFmt w:val="decimal"/>
      <w:lvlText w:val="%7."/>
      <w:lvlJc w:val="left"/>
      <w:pPr>
        <w:ind w:left="3224" w:hanging="440"/>
      </w:pPr>
    </w:lvl>
    <w:lvl w:ilvl="7" w:tplc="04090017" w:tentative="1">
      <w:start w:val="1"/>
      <w:numFmt w:val="aiueoFullWidth"/>
      <w:lvlText w:val="(%8)"/>
      <w:lvlJc w:val="left"/>
      <w:pPr>
        <w:ind w:left="3664" w:hanging="440"/>
      </w:pPr>
    </w:lvl>
    <w:lvl w:ilvl="8" w:tplc="04090011" w:tentative="1">
      <w:start w:val="1"/>
      <w:numFmt w:val="decimalEnclosedCircle"/>
      <w:lvlText w:val="%9"/>
      <w:lvlJc w:val="left"/>
      <w:pPr>
        <w:ind w:left="4104" w:hanging="440"/>
      </w:pPr>
    </w:lvl>
  </w:abstractNum>
  <w:num w:numId="1" w16cid:durableId="1543786631">
    <w:abstractNumId w:val="0"/>
  </w:num>
  <w:num w:numId="2" w16cid:durableId="760105585">
    <w:abstractNumId w:val="2"/>
  </w:num>
  <w:num w:numId="3" w16cid:durableId="6680180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0BB"/>
    <w:rsid w:val="00003F7C"/>
    <w:rsid w:val="000808CF"/>
    <w:rsid w:val="000913F7"/>
    <w:rsid w:val="000F436A"/>
    <w:rsid w:val="00176A21"/>
    <w:rsid w:val="001906DB"/>
    <w:rsid w:val="001C49BF"/>
    <w:rsid w:val="00231FC6"/>
    <w:rsid w:val="00237198"/>
    <w:rsid w:val="002A2AB4"/>
    <w:rsid w:val="003A3817"/>
    <w:rsid w:val="003D1DFF"/>
    <w:rsid w:val="00412928"/>
    <w:rsid w:val="00451499"/>
    <w:rsid w:val="004706B6"/>
    <w:rsid w:val="004D310F"/>
    <w:rsid w:val="005C064F"/>
    <w:rsid w:val="005D4FE0"/>
    <w:rsid w:val="00633301"/>
    <w:rsid w:val="007109BE"/>
    <w:rsid w:val="00715BC5"/>
    <w:rsid w:val="00715E3E"/>
    <w:rsid w:val="007232D9"/>
    <w:rsid w:val="007A51D1"/>
    <w:rsid w:val="007E2AE2"/>
    <w:rsid w:val="00851290"/>
    <w:rsid w:val="009A0DAC"/>
    <w:rsid w:val="009E40BB"/>
    <w:rsid w:val="009E5788"/>
    <w:rsid w:val="009E7D3D"/>
    <w:rsid w:val="00A600A2"/>
    <w:rsid w:val="00B322F4"/>
    <w:rsid w:val="00B8434C"/>
    <w:rsid w:val="00C01569"/>
    <w:rsid w:val="00CD3B83"/>
    <w:rsid w:val="00CF223C"/>
    <w:rsid w:val="00D61F8D"/>
    <w:rsid w:val="00D63881"/>
    <w:rsid w:val="00DD6F52"/>
    <w:rsid w:val="00E81DB9"/>
    <w:rsid w:val="00E95AEC"/>
    <w:rsid w:val="00EF3467"/>
    <w:rsid w:val="00F24F59"/>
    <w:rsid w:val="00F31CB8"/>
    <w:rsid w:val="00F361A2"/>
    <w:rsid w:val="00F47E8D"/>
    <w:rsid w:val="00F802A3"/>
    <w:rsid w:val="00FA05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10F6AE"/>
  <w15:docId w15:val="{1C4013BC-140B-426B-BA58-AB7B70B17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37198"/>
    <w:pPr>
      <w:ind w:leftChars="400" w:left="840"/>
    </w:pPr>
  </w:style>
  <w:style w:type="paragraph" w:styleId="Web">
    <w:name w:val="Normal (Web)"/>
    <w:basedOn w:val="a"/>
    <w:uiPriority w:val="99"/>
    <w:unhideWhenUsed/>
    <w:rsid w:val="001C49BF"/>
    <w:pPr>
      <w:spacing w:before="100" w:beforeAutospacing="1" w:after="100" w:afterAutospacing="1"/>
    </w:pPr>
    <w:rPr>
      <w:rFonts w:ascii="ＭＳ Ｐゴシック" w:eastAsia="ＭＳ Ｐゴシック" w:hAnsi="ＭＳ Ｐゴシック" w:cs="ＭＳ Ｐゴシック"/>
      <w:sz w:val="24"/>
      <w:szCs w:val="24"/>
      <w:lang w:eastAsia="ja-JP"/>
    </w:rPr>
  </w:style>
  <w:style w:type="paragraph" w:styleId="a4">
    <w:name w:val="header"/>
    <w:basedOn w:val="a"/>
    <w:link w:val="a5"/>
    <w:uiPriority w:val="99"/>
    <w:unhideWhenUsed/>
    <w:rsid w:val="00F31CB8"/>
    <w:pPr>
      <w:tabs>
        <w:tab w:val="center" w:pos="4252"/>
        <w:tab w:val="right" w:pos="8504"/>
      </w:tabs>
      <w:snapToGrid w:val="0"/>
    </w:pPr>
  </w:style>
  <w:style w:type="character" w:customStyle="1" w:styleId="a5">
    <w:name w:val="ヘッダー (文字)"/>
    <w:basedOn w:val="a0"/>
    <w:link w:val="a4"/>
    <w:uiPriority w:val="99"/>
    <w:rsid w:val="00F31CB8"/>
  </w:style>
  <w:style w:type="paragraph" w:styleId="a6">
    <w:name w:val="footer"/>
    <w:basedOn w:val="a"/>
    <w:link w:val="a7"/>
    <w:uiPriority w:val="99"/>
    <w:unhideWhenUsed/>
    <w:rsid w:val="00F31CB8"/>
    <w:pPr>
      <w:tabs>
        <w:tab w:val="center" w:pos="4252"/>
        <w:tab w:val="right" w:pos="8504"/>
      </w:tabs>
      <w:snapToGrid w:val="0"/>
    </w:pPr>
  </w:style>
  <w:style w:type="character" w:customStyle="1" w:styleId="a7">
    <w:name w:val="フッター (文字)"/>
    <w:basedOn w:val="a0"/>
    <w:link w:val="a6"/>
    <w:uiPriority w:val="99"/>
    <w:rsid w:val="00F31C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fId" Type="http://schemas.openxmlformats.org/wordprocessingml/2006/fontTable" Target="fontTable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352</Words>
  <Characters>2009</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Koichi OKADA</dc:creator>
  <cp:lastModifiedBy>英明 丹下</cp:lastModifiedBy>
  <cp:revision>14</cp:revision>
  <dcterms:created xsi:type="dcterms:W3CDTF">2026-07-22T01:52:00Z</dcterms:created>
  <dcterms:modified xsi:type="dcterms:W3CDTF">2026-08-07T07:44:00Z</dcterms:modified>
</cp:coreProperties>
</file>